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A8295" w14:textId="3E5A848C" w:rsidR="0087204A" w:rsidRPr="00686882" w:rsidRDefault="0087204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9BC40E" w14:textId="3FBD2BB9" w:rsidR="007544D1" w:rsidRPr="00686882" w:rsidRDefault="007544D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7431B7E" w14:textId="44828EF5" w:rsidR="007544D1" w:rsidRPr="00686882" w:rsidRDefault="007544D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FB33334" w14:textId="78C048CC" w:rsidR="007544D1" w:rsidRPr="00686882" w:rsidRDefault="007544D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3B5C46E" w14:textId="77777777" w:rsidR="007544D1" w:rsidRPr="00686882" w:rsidRDefault="007544D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48E4BEF" w14:textId="1F470440" w:rsidR="008B021E" w:rsidRPr="00005CF7" w:rsidRDefault="007544D1" w:rsidP="007544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5CF7">
        <w:rPr>
          <w:rFonts w:ascii="Times New Roman" w:hAnsi="Times New Roman" w:cs="Times New Roman"/>
          <w:b/>
          <w:bCs/>
          <w:sz w:val="32"/>
          <w:szCs w:val="32"/>
        </w:rPr>
        <w:t>OPINIA</w:t>
      </w:r>
      <w:r w:rsidR="008B021E" w:rsidRPr="00005CF7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2FEBF96" w14:textId="027ADC1A" w:rsidR="003A55AD" w:rsidRPr="00005CF7" w:rsidRDefault="008B021E" w:rsidP="007544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5CF7">
        <w:rPr>
          <w:rFonts w:ascii="Times New Roman" w:hAnsi="Times New Roman" w:cs="Times New Roman"/>
          <w:b/>
          <w:bCs/>
          <w:sz w:val="32"/>
          <w:szCs w:val="32"/>
        </w:rPr>
        <w:t>Obniżanie ryzyka –</w:t>
      </w:r>
    </w:p>
    <w:p w14:paraId="7032FB1A" w14:textId="77777777" w:rsidR="009B48BE" w:rsidRPr="00005CF7" w:rsidRDefault="008B021E" w:rsidP="007544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5CF7">
        <w:rPr>
          <w:rFonts w:ascii="Times New Roman" w:hAnsi="Times New Roman" w:cs="Times New Roman"/>
          <w:b/>
          <w:bCs/>
          <w:sz w:val="32"/>
          <w:szCs w:val="32"/>
        </w:rPr>
        <w:t>ograniczenie wykorzystywania</w:t>
      </w:r>
    </w:p>
    <w:p w14:paraId="1CED58CD" w14:textId="77777777" w:rsidR="009B48BE" w:rsidRPr="00005CF7" w:rsidRDefault="008B021E" w:rsidP="007544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5CF7">
        <w:rPr>
          <w:rFonts w:ascii="Times New Roman" w:hAnsi="Times New Roman" w:cs="Times New Roman"/>
          <w:b/>
          <w:bCs/>
          <w:sz w:val="32"/>
          <w:szCs w:val="32"/>
        </w:rPr>
        <w:t>drażniących substancji chemicznych</w:t>
      </w:r>
    </w:p>
    <w:p w14:paraId="4F4F096D" w14:textId="15438A64" w:rsidR="008B021E" w:rsidRPr="00005CF7" w:rsidRDefault="008B021E" w:rsidP="007544D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proofErr w:type="spellStart"/>
      <w:r w:rsidRPr="00005CF7">
        <w:rPr>
          <w:rFonts w:ascii="Times New Roman" w:hAnsi="Times New Roman" w:cs="Times New Roman"/>
          <w:b/>
          <w:bCs/>
          <w:sz w:val="32"/>
          <w:szCs w:val="32"/>
          <w:lang w:val="en-GB"/>
        </w:rPr>
        <w:t>podczas</w:t>
      </w:r>
      <w:proofErr w:type="spellEnd"/>
      <w:r w:rsidRPr="00005CF7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005CF7">
        <w:rPr>
          <w:rFonts w:ascii="Times New Roman" w:hAnsi="Times New Roman" w:cs="Times New Roman"/>
          <w:b/>
          <w:bCs/>
          <w:sz w:val="32"/>
          <w:szCs w:val="32"/>
          <w:lang w:val="en-GB"/>
        </w:rPr>
        <w:t>pandemii</w:t>
      </w:r>
      <w:proofErr w:type="spellEnd"/>
      <w:r w:rsidRPr="00005CF7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COVID-19</w:t>
      </w:r>
    </w:p>
    <w:p w14:paraId="5B20D540" w14:textId="15A1D790" w:rsidR="00CC29CA" w:rsidRPr="00686882" w:rsidRDefault="00CC29CA" w:rsidP="00CC29CA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7CD76495" w14:textId="77777777" w:rsidR="00CC29CA" w:rsidRPr="00686882" w:rsidRDefault="00CC29CA" w:rsidP="00CC29CA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4DC38023" w14:textId="6F3D6F6C" w:rsidR="003A55AD" w:rsidRPr="00686882" w:rsidRDefault="003A55AD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22E87CAB" w14:textId="4C037E78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3D178CF9" w14:textId="4B87FBF5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3AD9B521" w14:textId="4D0685A2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0E417F1B" w14:textId="01B5EDD4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3B718847" w14:textId="0D85D05C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61970541" w14:textId="79B1726A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277F4A9D" w14:textId="595E377C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0E8370B5" w14:textId="63878F5E" w:rsidR="007544D1" w:rsidRPr="00686882" w:rsidRDefault="007544D1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126B2B35" w14:textId="77777777" w:rsidR="00EF7DD5" w:rsidRPr="00686882" w:rsidRDefault="00EF7DD5" w:rsidP="00EF7DD5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</w:pPr>
      <w:r w:rsidRPr="00686882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8688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………………………</w:t>
      </w:r>
    </w:p>
    <w:p w14:paraId="5903FC99" w14:textId="2114D581" w:rsidR="003A55AD" w:rsidRPr="00686882" w:rsidRDefault="003A55AD" w:rsidP="003A55AD">
      <w:pPr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686882">
        <w:rPr>
          <w:rFonts w:ascii="Times New Roman" w:hAnsi="Times New Roman" w:cs="Times New Roman"/>
          <w:b/>
          <w:bCs/>
          <w:sz w:val="28"/>
          <w:szCs w:val="28"/>
          <w:lang w:val="en-GB"/>
        </w:rPr>
        <w:t>Omega Research Foundation</w:t>
      </w:r>
      <w:r w:rsidR="00CC29CA" w:rsidRPr="00686882">
        <w:rPr>
          <w:rFonts w:ascii="Times New Roman" w:hAnsi="Times New Roman" w:cs="Times New Roman"/>
          <w:b/>
          <w:bCs/>
          <w:sz w:val="26"/>
          <w:szCs w:val="26"/>
          <w:lang w:val="en-GB"/>
        </w:rPr>
        <w:br w:type="page"/>
      </w:r>
      <w:proofErr w:type="spellStart"/>
      <w:r w:rsidR="007544D1" w:rsidRPr="00686882">
        <w:rPr>
          <w:rFonts w:ascii="Times New Roman" w:hAnsi="Times New Roman" w:cs="Times New Roman"/>
          <w:b/>
          <w:bCs/>
          <w:sz w:val="26"/>
          <w:szCs w:val="26"/>
          <w:lang w:val="en-GB"/>
        </w:rPr>
        <w:lastRenderedPageBreak/>
        <w:t>Opinia</w:t>
      </w:r>
      <w:proofErr w:type="spellEnd"/>
      <w:r w:rsidRPr="00686882">
        <w:rPr>
          <w:rFonts w:ascii="Times New Roman" w:hAnsi="Times New Roman" w:cs="Times New Roman"/>
          <w:b/>
          <w:bCs/>
          <w:sz w:val="26"/>
          <w:szCs w:val="26"/>
          <w:lang w:val="en-GB"/>
        </w:rPr>
        <w:t>:</w:t>
      </w:r>
      <w:r w:rsidR="007544D1" w:rsidRPr="00686882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</w:p>
    <w:p w14:paraId="08FE5EF7" w14:textId="374F7208" w:rsidR="003A55AD" w:rsidRPr="00686882" w:rsidRDefault="003A55AD" w:rsidP="003A55AD">
      <w:pPr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>Obniżanie ryzyka – ograniczenie wykorzystywania drażniących substancji chemicznych podczas pandemii COVID-19</w:t>
      </w:r>
      <w:r w:rsidR="007544D1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83C149" w14:textId="77777777" w:rsidR="003A55AD" w:rsidRPr="00686882" w:rsidRDefault="003A55AD">
      <w:pPr>
        <w:rPr>
          <w:rFonts w:ascii="Times New Roman" w:hAnsi="Times New Roman" w:cs="Times New Roman"/>
          <w:sz w:val="26"/>
          <w:szCs w:val="26"/>
        </w:rPr>
      </w:pPr>
    </w:p>
    <w:p w14:paraId="59284773" w14:textId="6291169C" w:rsidR="008B021E" w:rsidRPr="00686882" w:rsidRDefault="007544D1">
      <w:pPr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………………………</w:t>
      </w:r>
    </w:p>
    <w:p w14:paraId="1F8109BF" w14:textId="293EA749" w:rsidR="00847A37" w:rsidRPr="00686882" w:rsidRDefault="007961D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sz w:val="26"/>
          <w:szCs w:val="26"/>
        </w:rPr>
        <w:t>Drażniące substancje chemiczne i zagrożenia zdrowia związane z ich wykorzystaniem</w:t>
      </w:r>
      <w:r w:rsidR="00D503F6"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45FAC18" w14:textId="4463DBDF" w:rsidR="00740B3F" w:rsidRPr="00686882" w:rsidRDefault="007961D8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Drażniące substancje chemiczne wywołują podrażnienie czuciowe, </w:t>
      </w:r>
      <w:r w:rsidR="0048785A" w:rsidRPr="00686882">
        <w:rPr>
          <w:rFonts w:ascii="Times New Roman" w:hAnsi="Times New Roman" w:cs="Times New Roman"/>
          <w:sz w:val="26"/>
          <w:szCs w:val="26"/>
        </w:rPr>
        <w:t xml:space="preserve">a także ból oczu </w:t>
      </w:r>
      <w:r w:rsidR="00686882">
        <w:rPr>
          <w:rFonts w:ascii="Times New Roman" w:hAnsi="Times New Roman" w:cs="Times New Roman"/>
          <w:sz w:val="26"/>
          <w:szCs w:val="26"/>
        </w:rPr>
        <w:br/>
      </w:r>
      <w:r w:rsidR="0048785A" w:rsidRPr="00686882">
        <w:rPr>
          <w:rFonts w:ascii="Times New Roman" w:hAnsi="Times New Roman" w:cs="Times New Roman"/>
          <w:sz w:val="26"/>
          <w:szCs w:val="26"/>
        </w:rPr>
        <w:t>i górnych dróg oddechowych</w:t>
      </w:r>
      <w:r w:rsidR="0048785A"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1"/>
      </w:r>
      <w:r w:rsidR="0048785A" w:rsidRPr="00686882">
        <w:rPr>
          <w:rFonts w:ascii="Times New Roman" w:hAnsi="Times New Roman" w:cs="Times New Roman"/>
          <w:sz w:val="26"/>
          <w:szCs w:val="26"/>
        </w:rPr>
        <w:t xml:space="preserve">. Mogą również powodować zapalenie błony śluzowej, </w:t>
      </w:r>
      <w:r w:rsidR="00686882">
        <w:rPr>
          <w:rFonts w:ascii="Times New Roman" w:hAnsi="Times New Roman" w:cs="Times New Roman"/>
          <w:sz w:val="26"/>
          <w:szCs w:val="26"/>
        </w:rPr>
        <w:br/>
      </w:r>
      <w:r w:rsidR="0048785A" w:rsidRPr="00686882">
        <w:rPr>
          <w:rFonts w:ascii="Times New Roman" w:hAnsi="Times New Roman" w:cs="Times New Roman"/>
          <w:sz w:val="26"/>
          <w:szCs w:val="26"/>
        </w:rPr>
        <w:t>w tym błony śluzowej dróg oddechowych. Najczęściej stosowanymi chemikaliami są środki drażniące CN (2-Chloroacetofenon) lub CS (o-</w:t>
      </w:r>
      <w:proofErr w:type="spellStart"/>
      <w:r w:rsidR="0048785A" w:rsidRPr="00686882">
        <w:rPr>
          <w:rFonts w:ascii="Times New Roman" w:hAnsi="Times New Roman" w:cs="Times New Roman"/>
          <w:sz w:val="26"/>
          <w:szCs w:val="26"/>
        </w:rPr>
        <w:t>Chlorobenzylidenomalononitryl</w:t>
      </w:r>
      <w:proofErr w:type="spellEnd"/>
      <w:r w:rsidR="0048785A" w:rsidRPr="00686882">
        <w:rPr>
          <w:rFonts w:ascii="Times New Roman" w:hAnsi="Times New Roman" w:cs="Times New Roman"/>
          <w:sz w:val="26"/>
          <w:szCs w:val="26"/>
        </w:rPr>
        <w:t>) – potocznie zwane gazem łzawiącym – i środki zapalne OC</w:t>
      </w:r>
      <w:r w:rsidR="00F22BB3" w:rsidRPr="00686882">
        <w:rPr>
          <w:rFonts w:ascii="Times New Roman" w:hAnsi="Times New Roman" w:cs="Times New Roman"/>
          <w:sz w:val="26"/>
          <w:szCs w:val="26"/>
        </w:rPr>
        <w:t>/ (</w:t>
      </w:r>
      <w:proofErr w:type="spellStart"/>
      <w:r w:rsidR="00927514" w:rsidRPr="00686882">
        <w:rPr>
          <w:rFonts w:ascii="Times New Roman" w:hAnsi="Times New Roman" w:cs="Times New Roman"/>
          <w:sz w:val="26"/>
          <w:szCs w:val="26"/>
        </w:rPr>
        <w:t>kapsaicyna</w:t>
      </w:r>
      <w:proofErr w:type="spellEnd"/>
      <w:r w:rsidR="00927514" w:rsidRPr="00686882">
        <w:rPr>
          <w:rFonts w:ascii="Times New Roman" w:hAnsi="Times New Roman" w:cs="Times New Roman"/>
          <w:sz w:val="26"/>
          <w:szCs w:val="26"/>
        </w:rPr>
        <w:t xml:space="preserve"> w postaci oleożywicy)</w:t>
      </w:r>
      <w:r w:rsidR="0048785A" w:rsidRPr="00686882">
        <w:rPr>
          <w:rFonts w:ascii="Times New Roman" w:hAnsi="Times New Roman" w:cs="Times New Roman"/>
          <w:sz w:val="26"/>
          <w:szCs w:val="26"/>
        </w:rPr>
        <w:t xml:space="preserve"> lub PAVA (</w:t>
      </w:r>
      <w:proofErr w:type="spellStart"/>
      <w:r w:rsidR="0048785A" w:rsidRPr="00686882">
        <w:rPr>
          <w:rFonts w:ascii="Times New Roman" w:hAnsi="Times New Roman" w:cs="Times New Roman"/>
          <w:sz w:val="26"/>
          <w:szCs w:val="26"/>
        </w:rPr>
        <w:t>wanililoamid</w:t>
      </w:r>
      <w:proofErr w:type="spellEnd"/>
      <w:r w:rsidR="0048785A" w:rsidRPr="00686882">
        <w:rPr>
          <w:rFonts w:ascii="Times New Roman" w:hAnsi="Times New Roman" w:cs="Times New Roman"/>
          <w:sz w:val="26"/>
          <w:szCs w:val="26"/>
        </w:rPr>
        <w:t xml:space="preserve"> kwasu </w:t>
      </w:r>
      <w:proofErr w:type="spellStart"/>
      <w:r w:rsidR="0048785A" w:rsidRPr="00686882">
        <w:rPr>
          <w:rFonts w:ascii="Times New Roman" w:hAnsi="Times New Roman" w:cs="Times New Roman"/>
          <w:sz w:val="26"/>
          <w:szCs w:val="26"/>
        </w:rPr>
        <w:t>pelargonowego</w:t>
      </w:r>
      <w:proofErr w:type="spellEnd"/>
      <w:r w:rsidR="0048785A" w:rsidRPr="00686882">
        <w:rPr>
          <w:rFonts w:ascii="Times New Roman" w:hAnsi="Times New Roman" w:cs="Times New Roman"/>
          <w:sz w:val="26"/>
          <w:szCs w:val="26"/>
        </w:rPr>
        <w:t xml:space="preserve">) – potocznie zwane gazem pieprzowym. </w:t>
      </w:r>
      <w:r w:rsidR="00921A41" w:rsidRPr="00686882">
        <w:rPr>
          <w:rFonts w:ascii="Times New Roman" w:hAnsi="Times New Roman" w:cs="Times New Roman"/>
          <w:sz w:val="26"/>
          <w:szCs w:val="26"/>
        </w:rPr>
        <w:t xml:space="preserve">Drażniące </w:t>
      </w:r>
      <w:r w:rsidR="00F22BB3" w:rsidRPr="00686882">
        <w:rPr>
          <w:rFonts w:ascii="Times New Roman" w:hAnsi="Times New Roman" w:cs="Times New Roman"/>
          <w:sz w:val="26"/>
          <w:szCs w:val="26"/>
        </w:rPr>
        <w:t xml:space="preserve">substancje </w:t>
      </w:r>
      <w:r w:rsidR="00921A41" w:rsidRPr="00686882">
        <w:rPr>
          <w:rFonts w:ascii="Times New Roman" w:hAnsi="Times New Roman" w:cs="Times New Roman"/>
          <w:sz w:val="26"/>
          <w:szCs w:val="26"/>
        </w:rPr>
        <w:t>chemiczne są najczęściej rozpylane</w:t>
      </w:r>
      <w:r w:rsidR="00874685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1D5E02" w:rsidRPr="00686882">
        <w:rPr>
          <w:rFonts w:ascii="Times New Roman" w:hAnsi="Times New Roman" w:cs="Times New Roman"/>
          <w:sz w:val="26"/>
          <w:szCs w:val="26"/>
        </w:rPr>
        <w:t xml:space="preserve">przy </w:t>
      </w:r>
      <w:r w:rsidR="00874685" w:rsidRPr="00686882">
        <w:rPr>
          <w:rFonts w:ascii="Times New Roman" w:hAnsi="Times New Roman" w:cs="Times New Roman"/>
          <w:sz w:val="26"/>
          <w:szCs w:val="26"/>
        </w:rPr>
        <w:t>pomocy</w:t>
      </w:r>
      <w:r w:rsidR="001D5E02" w:rsidRPr="00686882">
        <w:rPr>
          <w:rFonts w:ascii="Times New Roman" w:hAnsi="Times New Roman" w:cs="Times New Roman"/>
          <w:sz w:val="26"/>
          <w:szCs w:val="26"/>
        </w:rPr>
        <w:t xml:space="preserve"> miotaczy ręcznych, naramiennych i plecakowych, </w:t>
      </w:r>
      <w:r w:rsidR="00656518" w:rsidRPr="00686882">
        <w:rPr>
          <w:rFonts w:ascii="Times New Roman" w:hAnsi="Times New Roman" w:cs="Times New Roman"/>
          <w:sz w:val="26"/>
          <w:szCs w:val="26"/>
        </w:rPr>
        <w:t>rozpylaczy mgły,</w:t>
      </w:r>
      <w:r w:rsidR="00874685" w:rsidRPr="00686882">
        <w:rPr>
          <w:rFonts w:ascii="Times New Roman" w:hAnsi="Times New Roman" w:cs="Times New Roman"/>
          <w:sz w:val="26"/>
          <w:szCs w:val="26"/>
        </w:rPr>
        <w:t xml:space="preserve"> granatów ręcznych, wystrzeliwanych z broni pocisków i granatów, a także armatek wodnych. Często stosuje się je do rozpędzania zgromadzeń publicznych, a w niektórych krajach ich użycie jest dozwolone w miejscach pozbawienia wolności. </w:t>
      </w:r>
    </w:p>
    <w:p w14:paraId="5559E80A" w14:textId="3DDEC278" w:rsidR="00740B3F" w:rsidRPr="00686882" w:rsidRDefault="00740B3F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>Ryzyk</w:t>
      </w:r>
      <w:r w:rsidR="00831E1F" w:rsidRPr="00686882">
        <w:rPr>
          <w:rFonts w:ascii="Times New Roman" w:hAnsi="Times New Roman" w:cs="Times New Roman"/>
          <w:sz w:val="26"/>
          <w:szCs w:val="26"/>
        </w:rPr>
        <w:t>o</w:t>
      </w:r>
      <w:r w:rsidRPr="00686882">
        <w:rPr>
          <w:rFonts w:ascii="Times New Roman" w:hAnsi="Times New Roman" w:cs="Times New Roman"/>
          <w:sz w:val="26"/>
          <w:szCs w:val="26"/>
        </w:rPr>
        <w:t xml:space="preserve"> związane z użyciem drażniących środków chemicznych różni się w zależności od szeregu czynników, takich jak, rodzaj środka i sposób jego roz</w:t>
      </w:r>
      <w:r w:rsidR="008702FE" w:rsidRPr="00686882">
        <w:rPr>
          <w:rFonts w:ascii="Times New Roman" w:hAnsi="Times New Roman" w:cs="Times New Roman"/>
          <w:sz w:val="26"/>
          <w:szCs w:val="26"/>
        </w:rPr>
        <w:t>pylania</w:t>
      </w:r>
      <w:r w:rsidRPr="00686882">
        <w:rPr>
          <w:rFonts w:ascii="Times New Roman" w:hAnsi="Times New Roman" w:cs="Times New Roman"/>
          <w:sz w:val="26"/>
          <w:szCs w:val="26"/>
        </w:rPr>
        <w:t xml:space="preserve">, lokalizacja </w:t>
      </w:r>
      <w:r w:rsidR="00005CF7">
        <w:rPr>
          <w:rFonts w:ascii="Times New Roman" w:hAnsi="Times New Roman" w:cs="Times New Roman"/>
          <w:sz w:val="26"/>
          <w:szCs w:val="26"/>
        </w:rPr>
        <w:br/>
      </w:r>
      <w:r w:rsidRPr="00686882">
        <w:rPr>
          <w:rFonts w:ascii="Times New Roman" w:hAnsi="Times New Roman" w:cs="Times New Roman"/>
          <w:sz w:val="26"/>
          <w:szCs w:val="26"/>
        </w:rPr>
        <w:t>i warunki środowiskowe, stężenie</w:t>
      </w:r>
      <w:r w:rsidR="00D53757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Pr="00686882">
        <w:rPr>
          <w:rFonts w:ascii="Times New Roman" w:hAnsi="Times New Roman" w:cs="Times New Roman"/>
          <w:sz w:val="26"/>
          <w:szCs w:val="26"/>
        </w:rPr>
        <w:t>i ilość użytego środka, a także wiek i kondycja</w:t>
      </w:r>
      <w:r w:rsidR="00D53757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Pr="00686882">
        <w:rPr>
          <w:rFonts w:ascii="Times New Roman" w:hAnsi="Times New Roman" w:cs="Times New Roman"/>
          <w:sz w:val="26"/>
          <w:szCs w:val="26"/>
        </w:rPr>
        <w:t xml:space="preserve">fizyczna osób wystawionych na jego działanie. </w:t>
      </w:r>
      <w:r w:rsidR="0063421B" w:rsidRPr="00DE3815">
        <w:rPr>
          <w:rFonts w:ascii="Times New Roman" w:hAnsi="Times New Roman" w:cs="Times New Roman"/>
          <w:b/>
          <w:bCs/>
          <w:sz w:val="26"/>
          <w:szCs w:val="26"/>
        </w:rPr>
        <w:t>Osoby z chorobami układu oddechowego, dzieci, osoby starsze i w ciąży</w:t>
      </w:r>
      <w:r w:rsidR="00D53757"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421B"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są szczególnie narażone na </w:t>
      </w:r>
      <w:r w:rsidR="009E3014" w:rsidRPr="00DE3815">
        <w:rPr>
          <w:rFonts w:ascii="Times New Roman" w:hAnsi="Times New Roman" w:cs="Times New Roman"/>
          <w:b/>
          <w:bCs/>
          <w:sz w:val="26"/>
          <w:szCs w:val="26"/>
        </w:rPr>
        <w:t>niekorzystne skutki zdrowotne.</w:t>
      </w:r>
      <w:r w:rsidR="009E3014" w:rsidRPr="00686882">
        <w:rPr>
          <w:rFonts w:ascii="Times New Roman" w:hAnsi="Times New Roman" w:cs="Times New Roman"/>
          <w:sz w:val="26"/>
          <w:szCs w:val="26"/>
        </w:rPr>
        <w:t xml:space="preserve"> Sposób rozp</w:t>
      </w:r>
      <w:r w:rsidR="008702FE" w:rsidRPr="00686882">
        <w:rPr>
          <w:rFonts w:ascii="Times New Roman" w:hAnsi="Times New Roman" w:cs="Times New Roman"/>
          <w:sz w:val="26"/>
          <w:szCs w:val="26"/>
        </w:rPr>
        <w:t xml:space="preserve">rowadzania </w:t>
      </w:r>
      <w:r w:rsidR="009E3014" w:rsidRPr="00686882">
        <w:rPr>
          <w:rFonts w:ascii="Times New Roman" w:hAnsi="Times New Roman" w:cs="Times New Roman"/>
          <w:sz w:val="26"/>
          <w:szCs w:val="26"/>
        </w:rPr>
        <w:t>środka może stwarzać dodatkowe zagrożenie, np. bezpośredni kontakt z pociskiem wystrzelonym z broni może powodować rany drążące, wstrząśnienia mózgu, inne urazy głowy i śmierć.</w:t>
      </w:r>
      <w:r w:rsidR="00D503F6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27A0DF" w14:textId="2F50070E" w:rsidR="00874685" w:rsidRPr="00686882" w:rsidRDefault="00457519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>Wystawienie na działanie drażniących środków chemicznych skutkuje obfitym łzawieniem oczu, kaszlem, uciskiem w klatce piersiowej i problemami z oddychaniem. Środki te, zwłaszcza w dużych ilościach lub wysokich stężeniach, mogą powodować wymioty, poparzenia chemiczne i występowanie pęcherzy na skórze. Europejski Trybunał Praw Człowieka</w:t>
      </w:r>
      <w:r w:rsidR="00AE5347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D53757" w:rsidRPr="00686882">
        <w:rPr>
          <w:rFonts w:ascii="Times New Roman" w:hAnsi="Times New Roman" w:cs="Times New Roman"/>
          <w:sz w:val="26"/>
          <w:szCs w:val="26"/>
        </w:rPr>
        <w:t>przywołał</w:t>
      </w:r>
      <w:r w:rsidR="00AE5347" w:rsidRPr="00686882">
        <w:rPr>
          <w:rFonts w:ascii="Times New Roman" w:hAnsi="Times New Roman" w:cs="Times New Roman"/>
          <w:sz w:val="26"/>
          <w:szCs w:val="26"/>
        </w:rPr>
        <w:t xml:space="preserve"> obszerną listę potencjalnych skutkó</w:t>
      </w:r>
      <w:r w:rsidR="00D53757" w:rsidRPr="00686882">
        <w:rPr>
          <w:rFonts w:ascii="Times New Roman" w:hAnsi="Times New Roman" w:cs="Times New Roman"/>
          <w:sz w:val="26"/>
          <w:szCs w:val="26"/>
        </w:rPr>
        <w:t>w zdrowotnych</w:t>
      </w:r>
      <w:r w:rsidR="00AE5347" w:rsidRPr="00686882">
        <w:rPr>
          <w:rFonts w:ascii="Times New Roman" w:hAnsi="Times New Roman" w:cs="Times New Roman"/>
          <w:sz w:val="26"/>
          <w:szCs w:val="26"/>
        </w:rPr>
        <w:t>, które może wywołać użycie</w:t>
      </w:r>
      <w:r w:rsidR="00AE7B0C" w:rsidRPr="00686882">
        <w:rPr>
          <w:rFonts w:ascii="Times New Roman" w:hAnsi="Times New Roman" w:cs="Times New Roman"/>
          <w:sz w:val="26"/>
          <w:szCs w:val="26"/>
        </w:rPr>
        <w:t xml:space="preserve"> drażniących środków chemicznych, łącznie z</w:t>
      </w:r>
      <w:r w:rsidR="0033633F" w:rsidRPr="00686882">
        <w:rPr>
          <w:rFonts w:ascii="Times New Roman" w:hAnsi="Times New Roman" w:cs="Times New Roman"/>
          <w:sz w:val="26"/>
          <w:szCs w:val="26"/>
        </w:rPr>
        <w:t xml:space="preserve">: </w:t>
      </w:r>
      <w:r w:rsidR="0033633F" w:rsidRPr="007B5B93">
        <w:rPr>
          <w:rFonts w:ascii="Times New Roman" w:hAnsi="Times New Roman" w:cs="Times New Roman"/>
          <w:b/>
          <w:bCs/>
          <w:sz w:val="26"/>
          <w:szCs w:val="26"/>
        </w:rPr>
        <w:t>„problemami z oddychaniem</w:t>
      </w:r>
      <w:r w:rsidR="0033633F" w:rsidRPr="00686882">
        <w:rPr>
          <w:rFonts w:ascii="Times New Roman" w:hAnsi="Times New Roman" w:cs="Times New Roman"/>
          <w:sz w:val="26"/>
          <w:szCs w:val="26"/>
        </w:rPr>
        <w:t xml:space="preserve">, nudnościami, </w:t>
      </w:r>
      <w:r w:rsidR="0033633F" w:rsidRPr="007B5B93">
        <w:rPr>
          <w:rFonts w:ascii="Times New Roman" w:hAnsi="Times New Roman" w:cs="Times New Roman"/>
          <w:b/>
          <w:bCs/>
          <w:sz w:val="26"/>
          <w:szCs w:val="26"/>
        </w:rPr>
        <w:t>podrażnieniem dróg oddechowych, podrażnieniem kanalików</w:t>
      </w:r>
      <w:r w:rsidR="00D53757" w:rsidRPr="007B5B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3633F" w:rsidRPr="007B5B93">
        <w:rPr>
          <w:rFonts w:ascii="Times New Roman" w:hAnsi="Times New Roman" w:cs="Times New Roman"/>
          <w:b/>
          <w:bCs/>
          <w:sz w:val="26"/>
          <w:szCs w:val="26"/>
        </w:rPr>
        <w:t>łzowych i oczu</w:t>
      </w:r>
      <w:r w:rsidR="0033633F" w:rsidRPr="00686882">
        <w:rPr>
          <w:rFonts w:ascii="Times New Roman" w:hAnsi="Times New Roman" w:cs="Times New Roman"/>
          <w:sz w:val="26"/>
          <w:szCs w:val="26"/>
        </w:rPr>
        <w:t xml:space="preserve">, </w:t>
      </w:r>
      <w:r w:rsidR="002D0602" w:rsidRPr="00686882">
        <w:rPr>
          <w:rFonts w:ascii="Times New Roman" w:hAnsi="Times New Roman" w:cs="Times New Roman"/>
          <w:sz w:val="26"/>
          <w:szCs w:val="26"/>
        </w:rPr>
        <w:t>skurcz</w:t>
      </w:r>
      <w:r w:rsidR="00D53757" w:rsidRPr="00686882">
        <w:rPr>
          <w:rFonts w:ascii="Times New Roman" w:hAnsi="Times New Roman" w:cs="Times New Roman"/>
          <w:sz w:val="26"/>
          <w:szCs w:val="26"/>
        </w:rPr>
        <w:t>ami,</w:t>
      </w:r>
      <w:r w:rsidR="002D0602" w:rsidRPr="00686882">
        <w:rPr>
          <w:rFonts w:ascii="Times New Roman" w:hAnsi="Times New Roman" w:cs="Times New Roman"/>
          <w:sz w:val="26"/>
          <w:szCs w:val="26"/>
        </w:rPr>
        <w:t xml:space="preserve"> bólem w klatce piersiowej, zapaleniem skóry i alergiami. </w:t>
      </w:r>
      <w:r w:rsidR="0098292B" w:rsidRPr="00686882">
        <w:rPr>
          <w:rFonts w:ascii="Times New Roman" w:hAnsi="Times New Roman" w:cs="Times New Roman"/>
          <w:sz w:val="26"/>
          <w:szCs w:val="26"/>
        </w:rPr>
        <w:t xml:space="preserve">Zastosowanie </w:t>
      </w:r>
      <w:r w:rsidR="002D0602" w:rsidRPr="00686882">
        <w:rPr>
          <w:rFonts w:ascii="Times New Roman" w:hAnsi="Times New Roman" w:cs="Times New Roman"/>
          <w:sz w:val="26"/>
          <w:szCs w:val="26"/>
        </w:rPr>
        <w:t xml:space="preserve">większych dawek może prowadzić do </w:t>
      </w:r>
      <w:r w:rsidR="002D0602" w:rsidRPr="007B5B93">
        <w:rPr>
          <w:rFonts w:ascii="Times New Roman" w:hAnsi="Times New Roman" w:cs="Times New Roman"/>
          <w:b/>
          <w:bCs/>
          <w:sz w:val="26"/>
          <w:szCs w:val="26"/>
        </w:rPr>
        <w:t>obumierania tkanek układu oddechowego lub trawiennego, odmy płucnej</w:t>
      </w:r>
      <w:r w:rsidR="002D0602" w:rsidRPr="00686882">
        <w:rPr>
          <w:rFonts w:ascii="Times New Roman" w:hAnsi="Times New Roman" w:cs="Times New Roman"/>
          <w:sz w:val="26"/>
          <w:szCs w:val="26"/>
        </w:rPr>
        <w:t xml:space="preserve"> lub krwotoków wewnętrznych (krwawienie</w:t>
      </w:r>
      <w:r w:rsidR="0098292B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2D0602" w:rsidRPr="00686882">
        <w:rPr>
          <w:rFonts w:ascii="Times New Roman" w:hAnsi="Times New Roman" w:cs="Times New Roman"/>
          <w:sz w:val="26"/>
          <w:szCs w:val="26"/>
        </w:rPr>
        <w:t>nadnerczy)”</w:t>
      </w:r>
      <w:r w:rsidR="002D0602"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2"/>
      </w:r>
      <w:r w:rsidR="00DA71DD" w:rsidRPr="00686882">
        <w:rPr>
          <w:rFonts w:ascii="Times New Roman" w:hAnsi="Times New Roman" w:cs="Times New Roman"/>
          <w:sz w:val="26"/>
          <w:szCs w:val="26"/>
        </w:rPr>
        <w:t xml:space="preserve">. </w:t>
      </w:r>
      <w:r w:rsidR="00E925B4" w:rsidRPr="00686882">
        <w:rPr>
          <w:rFonts w:ascii="Times New Roman" w:hAnsi="Times New Roman" w:cs="Times New Roman"/>
          <w:sz w:val="26"/>
          <w:szCs w:val="26"/>
        </w:rPr>
        <w:t>W najcięższych</w:t>
      </w:r>
      <w:r w:rsidR="0098292B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E925B4" w:rsidRPr="00686882">
        <w:rPr>
          <w:rFonts w:ascii="Times New Roman" w:hAnsi="Times New Roman" w:cs="Times New Roman"/>
          <w:sz w:val="26"/>
          <w:szCs w:val="26"/>
        </w:rPr>
        <w:t>przypadkach może dojść do śmierci przez uduszenie lub zatrucie chemiczne.</w:t>
      </w:r>
      <w:r w:rsidR="00D503F6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CC17A4" w14:textId="1453BFF1" w:rsidR="00E925B4" w:rsidRPr="00686882" w:rsidRDefault="00E925B4" w:rsidP="00E925B4">
      <w:pPr>
        <w:rPr>
          <w:rFonts w:ascii="Times New Roman" w:hAnsi="Times New Roman" w:cs="Times New Roman"/>
          <w:sz w:val="26"/>
          <w:szCs w:val="26"/>
        </w:rPr>
      </w:pPr>
    </w:p>
    <w:p w14:paraId="6BF73260" w14:textId="3610C5A4" w:rsidR="00573FF4" w:rsidRPr="00686882" w:rsidRDefault="00573FF4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lastRenderedPageBreak/>
        <w:t xml:space="preserve">Międzynarodowe standardy </w:t>
      </w:r>
      <w:r w:rsidR="003C166B" w:rsidRPr="00686882">
        <w:rPr>
          <w:rFonts w:ascii="Times New Roman" w:hAnsi="Times New Roman" w:cs="Times New Roman"/>
          <w:sz w:val="26"/>
          <w:szCs w:val="26"/>
        </w:rPr>
        <w:t xml:space="preserve">w zakresie </w:t>
      </w:r>
      <w:r w:rsidRPr="00686882">
        <w:rPr>
          <w:rFonts w:ascii="Times New Roman" w:hAnsi="Times New Roman" w:cs="Times New Roman"/>
          <w:sz w:val="26"/>
          <w:szCs w:val="26"/>
        </w:rPr>
        <w:t xml:space="preserve">praw człowieka stanowią, że </w:t>
      </w:r>
      <w:r w:rsidRPr="006E3CBA">
        <w:rPr>
          <w:rFonts w:ascii="Times New Roman" w:hAnsi="Times New Roman" w:cs="Times New Roman"/>
          <w:b/>
          <w:bCs/>
          <w:sz w:val="26"/>
          <w:szCs w:val="26"/>
        </w:rPr>
        <w:t xml:space="preserve">„drażniące substancje chemiczne mogą być stosowane jedynie w sytuacji, gdy </w:t>
      </w:r>
      <w:r w:rsidR="00AA5826" w:rsidRPr="006E3CBA">
        <w:rPr>
          <w:rFonts w:ascii="Times New Roman" w:hAnsi="Times New Roman" w:cs="Times New Roman"/>
          <w:b/>
          <w:bCs/>
          <w:sz w:val="26"/>
          <w:szCs w:val="26"/>
        </w:rPr>
        <w:t xml:space="preserve">uprawniony </w:t>
      </w:r>
      <w:r w:rsidRPr="006E3CBA">
        <w:rPr>
          <w:rFonts w:ascii="Times New Roman" w:hAnsi="Times New Roman" w:cs="Times New Roman"/>
          <w:b/>
          <w:bCs/>
          <w:sz w:val="26"/>
          <w:szCs w:val="26"/>
        </w:rPr>
        <w:t>funk</w:t>
      </w:r>
      <w:r w:rsidR="00222CF1" w:rsidRPr="006E3CBA">
        <w:rPr>
          <w:rFonts w:ascii="Times New Roman" w:hAnsi="Times New Roman" w:cs="Times New Roman"/>
          <w:b/>
          <w:bCs/>
          <w:sz w:val="26"/>
          <w:szCs w:val="26"/>
        </w:rPr>
        <w:t>cjonariusz ma uzasadnione podejrzenie, że może dojść do nieuniknionego zagrożenia zdrowia</w:t>
      </w:r>
      <w:r w:rsidR="00222CF1" w:rsidRPr="006E3CBA">
        <w:rPr>
          <w:rStyle w:val="Odwoanieprzypisukocowego"/>
          <w:rFonts w:ascii="Times New Roman" w:hAnsi="Times New Roman" w:cs="Times New Roman"/>
          <w:b/>
          <w:bCs/>
          <w:sz w:val="26"/>
          <w:szCs w:val="26"/>
        </w:rPr>
        <w:endnoteReference w:id="3"/>
      </w:r>
      <w:r w:rsidR="00222CF1" w:rsidRPr="006E3CBA">
        <w:rPr>
          <w:rFonts w:ascii="Times New Roman" w:hAnsi="Times New Roman" w:cs="Times New Roman"/>
          <w:b/>
          <w:bCs/>
          <w:sz w:val="26"/>
          <w:szCs w:val="26"/>
        </w:rPr>
        <w:t xml:space="preserve">, a nie jedynie uszkodzenia mienia. </w:t>
      </w:r>
      <w:r w:rsidR="00222CF1" w:rsidRPr="00686882">
        <w:rPr>
          <w:rFonts w:ascii="Times New Roman" w:hAnsi="Times New Roman" w:cs="Times New Roman"/>
          <w:sz w:val="26"/>
          <w:szCs w:val="26"/>
        </w:rPr>
        <w:t xml:space="preserve">Nie mogą być one wykorzystywane do rozpędzania pokojowych </w:t>
      </w:r>
      <w:r w:rsidR="00017CE8" w:rsidRPr="00686882">
        <w:rPr>
          <w:rFonts w:ascii="Times New Roman" w:hAnsi="Times New Roman" w:cs="Times New Roman"/>
          <w:sz w:val="26"/>
          <w:szCs w:val="26"/>
        </w:rPr>
        <w:t xml:space="preserve">demonstracji </w:t>
      </w:r>
      <w:r w:rsidR="00222CF1" w:rsidRPr="00686882">
        <w:rPr>
          <w:rFonts w:ascii="Times New Roman" w:hAnsi="Times New Roman" w:cs="Times New Roman"/>
          <w:sz w:val="26"/>
          <w:szCs w:val="26"/>
        </w:rPr>
        <w:t xml:space="preserve">lub stosowane tam, gdzie znajdują się osoby starsze, dzieci, lub inne osoby, które mogą mieć problem </w:t>
      </w:r>
      <w:r w:rsidR="00005CF7">
        <w:rPr>
          <w:rFonts w:ascii="Times New Roman" w:hAnsi="Times New Roman" w:cs="Times New Roman"/>
          <w:sz w:val="26"/>
          <w:szCs w:val="26"/>
        </w:rPr>
        <w:br/>
      </w:r>
      <w:r w:rsidR="00222CF1" w:rsidRPr="00686882">
        <w:rPr>
          <w:rFonts w:ascii="Times New Roman" w:hAnsi="Times New Roman" w:cs="Times New Roman"/>
          <w:sz w:val="26"/>
          <w:szCs w:val="26"/>
        </w:rPr>
        <w:t>z przemieszczaniem się w celu uniknięcia kontaktu z chemikaliami</w:t>
      </w:r>
      <w:r w:rsidR="00AA5826" w:rsidRPr="00686882">
        <w:rPr>
          <w:rFonts w:ascii="Times New Roman" w:hAnsi="Times New Roman" w:cs="Times New Roman"/>
          <w:sz w:val="26"/>
          <w:szCs w:val="26"/>
        </w:rPr>
        <w:t xml:space="preserve">. Niedopuszczalne jest także ich stosowanie </w:t>
      </w:r>
      <w:r w:rsidR="00222CF1" w:rsidRPr="00686882">
        <w:rPr>
          <w:rFonts w:ascii="Times New Roman" w:hAnsi="Times New Roman" w:cs="Times New Roman"/>
          <w:sz w:val="26"/>
          <w:szCs w:val="26"/>
        </w:rPr>
        <w:t xml:space="preserve">w zamkniętych pomieszczeniach lub na stadionach sportowych, gdzie </w:t>
      </w:r>
      <w:r w:rsidR="00F32F59" w:rsidRPr="00686882">
        <w:rPr>
          <w:rFonts w:ascii="Times New Roman" w:hAnsi="Times New Roman" w:cs="Times New Roman"/>
          <w:sz w:val="26"/>
          <w:szCs w:val="26"/>
        </w:rPr>
        <w:t>możliwości wyjścia są ograniczone</w:t>
      </w:r>
      <w:r w:rsidR="00222CF1" w:rsidRPr="00686882">
        <w:rPr>
          <w:rFonts w:ascii="Times New Roman" w:hAnsi="Times New Roman" w:cs="Times New Roman"/>
          <w:sz w:val="26"/>
          <w:szCs w:val="26"/>
        </w:rPr>
        <w:t xml:space="preserve"> i gdzie występuje niebezpieczeństwo zmiażdżeń”.</w:t>
      </w:r>
      <w:r w:rsidR="00222CF1"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4"/>
      </w:r>
      <w:r w:rsidR="00525285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AA5826" w:rsidRPr="00686882">
        <w:rPr>
          <w:rFonts w:ascii="Times New Roman" w:hAnsi="Times New Roman" w:cs="Times New Roman"/>
          <w:sz w:val="26"/>
          <w:szCs w:val="26"/>
        </w:rPr>
        <w:t xml:space="preserve">Stanowisko </w:t>
      </w:r>
      <w:r w:rsidR="00DD0C08" w:rsidRPr="00686882">
        <w:rPr>
          <w:rFonts w:ascii="Times New Roman" w:hAnsi="Times New Roman" w:cs="Times New Roman"/>
          <w:sz w:val="26"/>
          <w:szCs w:val="26"/>
        </w:rPr>
        <w:t>F</w:t>
      </w:r>
      <w:r w:rsidR="00525285" w:rsidRPr="00686882">
        <w:rPr>
          <w:rFonts w:ascii="Times New Roman" w:hAnsi="Times New Roman" w:cs="Times New Roman"/>
          <w:sz w:val="26"/>
          <w:szCs w:val="26"/>
        </w:rPr>
        <w:t>undacji</w:t>
      </w:r>
      <w:r w:rsidR="00F32F59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525285" w:rsidRPr="00686882">
        <w:rPr>
          <w:rFonts w:ascii="Times New Roman" w:hAnsi="Times New Roman" w:cs="Times New Roman"/>
          <w:sz w:val="26"/>
          <w:szCs w:val="26"/>
        </w:rPr>
        <w:t xml:space="preserve">Omega znajduje swoje odzwierciedlenie </w:t>
      </w:r>
      <w:r w:rsidR="00AC08F8" w:rsidRPr="00686882">
        <w:rPr>
          <w:rFonts w:ascii="Times New Roman" w:hAnsi="Times New Roman" w:cs="Times New Roman"/>
          <w:sz w:val="26"/>
          <w:szCs w:val="26"/>
        </w:rPr>
        <w:t>w</w:t>
      </w:r>
      <w:r w:rsidR="003C5541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3C5541" w:rsidRPr="00686882">
        <w:rPr>
          <w:rFonts w:ascii="Times New Roman" w:hAnsi="Times New Roman" w:cs="Times New Roman"/>
          <w:i/>
          <w:iCs/>
          <w:sz w:val="26"/>
          <w:szCs w:val="26"/>
        </w:rPr>
        <w:t>Przewodniku po użyciu siły i broni palnej w egzekwowaniu prawa</w:t>
      </w:r>
      <w:r w:rsidR="00AC08F8" w:rsidRPr="00686882">
        <w:rPr>
          <w:rFonts w:ascii="Times New Roman" w:hAnsi="Times New Roman" w:cs="Times New Roman"/>
          <w:sz w:val="26"/>
          <w:szCs w:val="26"/>
        </w:rPr>
        <w:t>, któr</w:t>
      </w:r>
      <w:r w:rsidR="003C5541" w:rsidRPr="00686882">
        <w:rPr>
          <w:rFonts w:ascii="Times New Roman" w:hAnsi="Times New Roman" w:cs="Times New Roman"/>
          <w:sz w:val="26"/>
          <w:szCs w:val="26"/>
        </w:rPr>
        <w:t xml:space="preserve">y </w:t>
      </w:r>
      <w:r w:rsidR="00AC08F8" w:rsidRPr="00686882">
        <w:rPr>
          <w:rFonts w:ascii="Times New Roman" w:hAnsi="Times New Roman" w:cs="Times New Roman"/>
          <w:sz w:val="26"/>
          <w:szCs w:val="26"/>
        </w:rPr>
        <w:t>stanowi, że nie wolno „[…] używać granatów ze</w:t>
      </w:r>
      <w:r w:rsidR="00083CB5" w:rsidRPr="00686882">
        <w:rPr>
          <w:rFonts w:ascii="Times New Roman" w:hAnsi="Times New Roman" w:cs="Times New Roman"/>
          <w:sz w:val="26"/>
          <w:szCs w:val="26"/>
        </w:rPr>
        <w:t xml:space="preserve"> środkami</w:t>
      </w:r>
      <w:r w:rsidR="00AC08F8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B045A8" w:rsidRPr="00686882">
        <w:rPr>
          <w:rFonts w:ascii="Times New Roman" w:hAnsi="Times New Roman" w:cs="Times New Roman"/>
          <w:sz w:val="26"/>
          <w:szCs w:val="26"/>
        </w:rPr>
        <w:t>rozpraszania tłumu</w:t>
      </w:r>
      <w:r w:rsidR="00AC08F8" w:rsidRPr="00686882">
        <w:rPr>
          <w:rFonts w:ascii="Times New Roman" w:hAnsi="Times New Roman" w:cs="Times New Roman"/>
          <w:sz w:val="26"/>
          <w:szCs w:val="26"/>
        </w:rPr>
        <w:t xml:space="preserve"> na dużych przestrzeniach wobec większych grup ludzi, chyba że poziom przemocy jest tak wysoki, że [funkcjonariusze organów ścigania] nie mogą opanować zagrożenia poprzez działania ukierunkowane jedynie na osoby </w:t>
      </w:r>
      <w:r w:rsidR="00AA5826" w:rsidRPr="00686882">
        <w:rPr>
          <w:rFonts w:ascii="Times New Roman" w:hAnsi="Times New Roman" w:cs="Times New Roman"/>
          <w:sz w:val="26"/>
          <w:szCs w:val="26"/>
        </w:rPr>
        <w:t>agresywne</w:t>
      </w:r>
      <w:r w:rsidR="00AC08F8" w:rsidRPr="00686882">
        <w:rPr>
          <w:rFonts w:ascii="Times New Roman" w:hAnsi="Times New Roman" w:cs="Times New Roman"/>
          <w:sz w:val="26"/>
          <w:szCs w:val="26"/>
        </w:rPr>
        <w:t>”</w:t>
      </w:r>
      <w:r w:rsidR="00AC08F8"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5"/>
      </w:r>
      <w:r w:rsidRPr="00686882">
        <w:rPr>
          <w:rFonts w:ascii="Times New Roman" w:hAnsi="Times New Roman" w:cs="Times New Roman"/>
          <w:sz w:val="26"/>
          <w:szCs w:val="26"/>
        </w:rPr>
        <w:t xml:space="preserve">. </w:t>
      </w:r>
      <w:r w:rsidR="003609DF" w:rsidRPr="00686882">
        <w:rPr>
          <w:rFonts w:ascii="Times New Roman" w:hAnsi="Times New Roman" w:cs="Times New Roman"/>
          <w:sz w:val="26"/>
          <w:szCs w:val="26"/>
        </w:rPr>
        <w:t>Gdy dochodzi do wykorzystania drażniących środków</w:t>
      </w:r>
      <w:r w:rsidR="00B045A8" w:rsidRPr="00686882">
        <w:rPr>
          <w:rFonts w:ascii="Times New Roman" w:hAnsi="Times New Roman" w:cs="Times New Roman"/>
          <w:sz w:val="26"/>
          <w:szCs w:val="26"/>
        </w:rPr>
        <w:t xml:space="preserve"> c</w:t>
      </w:r>
      <w:r w:rsidR="003609DF" w:rsidRPr="00686882">
        <w:rPr>
          <w:rFonts w:ascii="Times New Roman" w:hAnsi="Times New Roman" w:cs="Times New Roman"/>
          <w:sz w:val="26"/>
          <w:szCs w:val="26"/>
        </w:rPr>
        <w:t>hemicznych, ludzie nie powinni być wystawieni na ich działanie w sposób przedłużony lub wielokrotny</w:t>
      </w:r>
      <w:r w:rsidRPr="00686882">
        <w:rPr>
          <w:rFonts w:ascii="Times New Roman" w:hAnsi="Times New Roman" w:cs="Times New Roman"/>
          <w:sz w:val="26"/>
          <w:szCs w:val="26"/>
        </w:rPr>
        <w:t>.</w:t>
      </w:r>
      <w:r w:rsidR="003609DF"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6"/>
      </w:r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3609DF"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Poza istniejącymi </w:t>
      </w:r>
      <w:r w:rsidR="00567F05" w:rsidRPr="00DE3815">
        <w:rPr>
          <w:rFonts w:ascii="Times New Roman" w:hAnsi="Times New Roman" w:cs="Times New Roman"/>
          <w:b/>
          <w:bCs/>
          <w:sz w:val="26"/>
          <w:szCs w:val="26"/>
        </w:rPr>
        <w:t>już obawami,</w:t>
      </w:r>
      <w:r w:rsidR="003609DF"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 wykorzystanie drażniących środków chemicznych w czasie pandemii może nieść za sobą podwyższone ryzyko wywołania niezamierzonych szkód</w:t>
      </w:r>
      <w:r w:rsidR="00DE495A" w:rsidRPr="00DE381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E495A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50C1FA" w14:textId="64343F72" w:rsidR="00DE495A" w:rsidRPr="00686882" w:rsidRDefault="00DE495A" w:rsidP="00573FF4">
      <w:pPr>
        <w:rPr>
          <w:rFonts w:ascii="Times New Roman" w:hAnsi="Times New Roman" w:cs="Times New Roman"/>
          <w:sz w:val="26"/>
          <w:szCs w:val="26"/>
        </w:rPr>
      </w:pPr>
    </w:p>
    <w:p w14:paraId="287FC7B3" w14:textId="3BA79020" w:rsidR="007544D1" w:rsidRPr="00686882" w:rsidRDefault="007544D1" w:rsidP="007544D1">
      <w:pPr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………………………</w:t>
      </w:r>
    </w:p>
    <w:p w14:paraId="6EEFBF09" w14:textId="3ADC7567" w:rsidR="007546C0" w:rsidRPr="00686882" w:rsidRDefault="007546C0" w:rsidP="00573FF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sz w:val="26"/>
          <w:szCs w:val="26"/>
        </w:rPr>
        <w:t>Podwyższone</w:t>
      </w:r>
      <w:r w:rsidR="00FA4FAC"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ryzyko</w:t>
      </w:r>
      <w:r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ze względu na COVID-19</w:t>
      </w:r>
      <w:r w:rsidR="00D503F6"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B033ADE" w14:textId="39D9138C" w:rsidR="00BA2035" w:rsidRPr="00686882" w:rsidRDefault="008559DB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>Amerykańskie Towarzystwo Chorób Klatki Piersiowej wezwało do wprowadzenia moratorium</w:t>
      </w:r>
      <w:r w:rsidR="00BA2035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Pr="00686882">
        <w:rPr>
          <w:rFonts w:ascii="Times New Roman" w:hAnsi="Times New Roman" w:cs="Times New Roman"/>
          <w:sz w:val="26"/>
          <w:szCs w:val="26"/>
        </w:rPr>
        <w:t>na użycie gazu łzawiącego i innych środków chemicznych wykorzystywanych przez funkcjonariuszy organów ścigania przeciwko uczestnikom demonstracji, powołując się na „brak kluczowych badań</w:t>
      </w:r>
      <w:r w:rsidR="002E2D45" w:rsidRPr="00686882">
        <w:rPr>
          <w:rFonts w:ascii="Times New Roman" w:hAnsi="Times New Roman" w:cs="Times New Roman"/>
          <w:sz w:val="26"/>
          <w:szCs w:val="26"/>
        </w:rPr>
        <w:t>, nasilone stosowanie gazu łzawiącego przez organy ścigania, a także prawdopodobieństwo pogorszenia stanu zdrowia płuc i przyczynianie się do rozprzestrzeniania COVID-19”</w:t>
      </w:r>
      <w:r w:rsidR="002E2D45"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7"/>
      </w:r>
      <w:r w:rsidR="002E2D45" w:rsidRPr="0068688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B18A49A" w14:textId="77777777" w:rsidR="00F033D1" w:rsidRPr="00686882" w:rsidRDefault="00F033D1" w:rsidP="00BA2035">
      <w:pPr>
        <w:rPr>
          <w:rFonts w:ascii="Times New Roman" w:hAnsi="Times New Roman" w:cs="Times New Roman"/>
          <w:sz w:val="26"/>
          <w:szCs w:val="26"/>
        </w:rPr>
      </w:pPr>
    </w:p>
    <w:p w14:paraId="1A303ABE" w14:textId="1B467E0A" w:rsidR="007546C0" w:rsidRPr="00686882" w:rsidRDefault="00F033D1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Szerokie grono przedstawicieli personelu medycznego i ekspertów w dziedzinie zdrowia publicznego podkreśla również ryzyko związane z użyciem drażniących środków chemicznych w czasie pandemii, zwłaszcza w kontekście protestów Black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Lives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Matter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w Stanach Zjednoczonych</w:t>
      </w:r>
      <w:r w:rsidR="00FF6683" w:rsidRPr="00686882">
        <w:rPr>
          <w:rFonts w:ascii="Times New Roman" w:hAnsi="Times New Roman" w:cs="Times New Roman"/>
          <w:sz w:val="26"/>
          <w:szCs w:val="26"/>
        </w:rPr>
        <w:t xml:space="preserve">. </w:t>
      </w:r>
      <w:r w:rsidR="00E820AC" w:rsidRPr="00686882">
        <w:rPr>
          <w:rFonts w:ascii="Times New Roman" w:hAnsi="Times New Roman" w:cs="Times New Roman"/>
          <w:sz w:val="26"/>
          <w:szCs w:val="26"/>
        </w:rPr>
        <w:t xml:space="preserve">Prawie 1300 pracowników służby zdrowia wyraziło swój sprzeciw wobec stosowania drażniących substancji chemicznych, które </w:t>
      </w:r>
      <w:r w:rsidR="00E820AC" w:rsidRPr="007B5B93">
        <w:rPr>
          <w:rFonts w:ascii="Times New Roman" w:hAnsi="Times New Roman" w:cs="Times New Roman"/>
          <w:b/>
          <w:bCs/>
          <w:sz w:val="26"/>
          <w:szCs w:val="26"/>
        </w:rPr>
        <w:t>„może podwyższyć ryzyko wystąpienia COVID-19 poprzez zwiększenie podatności dróg oddechowych na infekcje, nasilenie istniejących stanów zapalnych i wywołanie kaszlu”</w:t>
      </w:r>
      <w:r w:rsidR="00E820AC" w:rsidRPr="007B5B93">
        <w:rPr>
          <w:rStyle w:val="Odwoanieprzypisukocowego"/>
          <w:rFonts w:ascii="Times New Roman" w:hAnsi="Times New Roman" w:cs="Times New Roman"/>
          <w:b/>
          <w:bCs/>
          <w:sz w:val="26"/>
          <w:szCs w:val="26"/>
        </w:rPr>
        <w:endnoteReference w:id="8"/>
      </w:r>
      <w:r w:rsidR="00E820AC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23D7A4" w14:textId="511486FE" w:rsidR="00E820AC" w:rsidRPr="00686882" w:rsidRDefault="00E820AC" w:rsidP="00E820AC">
      <w:pPr>
        <w:rPr>
          <w:rFonts w:ascii="Times New Roman" w:hAnsi="Times New Roman" w:cs="Times New Roman"/>
          <w:sz w:val="26"/>
          <w:szCs w:val="26"/>
        </w:rPr>
      </w:pPr>
    </w:p>
    <w:p w14:paraId="7268443D" w14:textId="2650FCA9" w:rsidR="00E925B4" w:rsidRPr="00686882" w:rsidRDefault="00B45DE5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lastRenderedPageBreak/>
        <w:t xml:space="preserve">Wydzielina z nosa i nadmierne ślinienie spowodowane wystawieniem na działanie drażniących środków chemicznych zmniejszają ilość śluzu w nosie, ustach i płucach, niszcząc tym samym warstwę ochronną, która zabezpiecza organizm przed wirusami </w:t>
      </w:r>
      <w:r w:rsidR="00005CF7">
        <w:rPr>
          <w:rFonts w:ascii="Times New Roman" w:hAnsi="Times New Roman" w:cs="Times New Roman"/>
          <w:sz w:val="26"/>
          <w:szCs w:val="26"/>
        </w:rPr>
        <w:br/>
      </w:r>
      <w:r w:rsidRPr="00686882">
        <w:rPr>
          <w:rFonts w:ascii="Times New Roman" w:hAnsi="Times New Roman" w:cs="Times New Roman"/>
          <w:sz w:val="26"/>
          <w:szCs w:val="26"/>
        </w:rPr>
        <w:t>i innymi patogenami. Według Petera Chin-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Honga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>, profesora chorób zakaźnych na Uniwersytecie Kalifornijskim, prowadzi to do wystąpienia stanów zapalnych i zwiększa ryzyko wystąpienia infekcji</w:t>
      </w:r>
      <w:r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9"/>
      </w:r>
      <w:r w:rsidR="006C26E6" w:rsidRPr="00686882">
        <w:rPr>
          <w:rFonts w:ascii="Times New Roman" w:hAnsi="Times New Roman" w:cs="Times New Roman"/>
          <w:sz w:val="26"/>
          <w:szCs w:val="26"/>
        </w:rPr>
        <w:t>.</w:t>
      </w:r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62F69E" w14:textId="77777777" w:rsidR="00F62CDB" w:rsidRPr="00686882" w:rsidRDefault="00F62CDB" w:rsidP="00F62CDB">
      <w:pPr>
        <w:rPr>
          <w:rFonts w:ascii="Times New Roman" w:hAnsi="Times New Roman" w:cs="Times New Roman"/>
          <w:sz w:val="26"/>
          <w:szCs w:val="26"/>
        </w:rPr>
      </w:pPr>
    </w:p>
    <w:p w14:paraId="1ACAB5FA" w14:textId="152163C0" w:rsidR="00F62CDB" w:rsidRPr="00686882" w:rsidRDefault="00F62CDB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Taką tezę zdają się potwierdzać badania medyczne, w szczególności przeprowadzony przez armię amerykańską projekt badawczy, który wykazał, że </w:t>
      </w:r>
      <w:r w:rsidRPr="009618F0">
        <w:rPr>
          <w:rFonts w:ascii="Times New Roman" w:hAnsi="Times New Roman" w:cs="Times New Roman"/>
          <w:b/>
          <w:bCs/>
          <w:sz w:val="26"/>
          <w:szCs w:val="26"/>
        </w:rPr>
        <w:t xml:space="preserve">prawdopodobieństwo wystąpienia </w:t>
      </w:r>
      <w:r w:rsidR="00BB12C5" w:rsidRPr="009618F0">
        <w:rPr>
          <w:rFonts w:ascii="Times New Roman" w:hAnsi="Times New Roman" w:cs="Times New Roman"/>
          <w:b/>
          <w:bCs/>
          <w:sz w:val="26"/>
          <w:szCs w:val="26"/>
        </w:rPr>
        <w:t>ostrego zakażenia dróg oddechowych (ARI), takiego jak grypa, zapaleni</w:t>
      </w:r>
      <w:r w:rsidR="009618F0" w:rsidRPr="009618F0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BB12C5" w:rsidRPr="009618F0">
        <w:rPr>
          <w:rFonts w:ascii="Times New Roman" w:hAnsi="Times New Roman" w:cs="Times New Roman"/>
          <w:b/>
          <w:bCs/>
          <w:sz w:val="26"/>
          <w:szCs w:val="26"/>
        </w:rPr>
        <w:t xml:space="preserve"> oskrzeli czy zapalenie płuc jest prawie 2,5 </w:t>
      </w:r>
      <w:proofErr w:type="spellStart"/>
      <w:r w:rsidR="00BB12C5" w:rsidRPr="009618F0">
        <w:rPr>
          <w:rFonts w:ascii="Times New Roman" w:hAnsi="Times New Roman" w:cs="Times New Roman"/>
          <w:b/>
          <w:bCs/>
          <w:sz w:val="26"/>
          <w:szCs w:val="26"/>
        </w:rPr>
        <w:t>raza</w:t>
      </w:r>
      <w:proofErr w:type="spellEnd"/>
      <w:r w:rsidR="00BB12C5" w:rsidRPr="009618F0">
        <w:rPr>
          <w:rFonts w:ascii="Times New Roman" w:hAnsi="Times New Roman" w:cs="Times New Roman"/>
          <w:b/>
          <w:bCs/>
          <w:sz w:val="26"/>
          <w:szCs w:val="26"/>
        </w:rPr>
        <w:t xml:space="preserve"> wyższe po wystawieniu na działanie gazu łzawiącego (CS).</w:t>
      </w:r>
      <w:r w:rsidR="00BB12C5" w:rsidRPr="009618F0">
        <w:rPr>
          <w:rStyle w:val="Odwoanieprzypisukocowego"/>
          <w:rFonts w:ascii="Times New Roman" w:hAnsi="Times New Roman" w:cs="Times New Roman"/>
          <w:b/>
          <w:bCs/>
          <w:sz w:val="26"/>
          <w:szCs w:val="26"/>
        </w:rPr>
        <w:endnoteReference w:id="10"/>
      </w:r>
      <w:r w:rsidR="00BB12C5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DD4D32" w:rsidRPr="00686882">
        <w:rPr>
          <w:rFonts w:ascii="Times New Roman" w:hAnsi="Times New Roman" w:cs="Times New Roman"/>
          <w:sz w:val="26"/>
          <w:szCs w:val="26"/>
        </w:rPr>
        <w:t>Badanie nie zostało przeprowadzone w sezonie grypowym, a uczestnicy byli wystawieni na działanie CS tylko raz. Biorąc pod uwagę ich udział w ćwiczeniach</w:t>
      </w:r>
      <w:r w:rsidR="007C24C8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DD4D32" w:rsidRPr="00686882">
        <w:rPr>
          <w:rFonts w:ascii="Times New Roman" w:hAnsi="Times New Roman" w:cs="Times New Roman"/>
          <w:sz w:val="26"/>
          <w:szCs w:val="26"/>
        </w:rPr>
        <w:t>wojskowych można zakładać, że cechowała ich wysoka sprawność i dobry stan zdrowia</w:t>
      </w:r>
      <w:r w:rsidR="007C24C8" w:rsidRPr="00686882">
        <w:rPr>
          <w:rFonts w:ascii="Times New Roman" w:hAnsi="Times New Roman" w:cs="Times New Roman"/>
          <w:sz w:val="26"/>
          <w:szCs w:val="26"/>
        </w:rPr>
        <w:t>. Badanie wykazało</w:t>
      </w:r>
      <w:r w:rsidR="00C201EE" w:rsidRPr="00686882">
        <w:rPr>
          <w:rFonts w:ascii="Times New Roman" w:hAnsi="Times New Roman" w:cs="Times New Roman"/>
          <w:sz w:val="26"/>
          <w:szCs w:val="26"/>
        </w:rPr>
        <w:t>, że wystawienie na działanie</w:t>
      </w:r>
      <w:r w:rsidR="007C24C8" w:rsidRPr="00686882">
        <w:rPr>
          <w:rFonts w:ascii="Times New Roman" w:hAnsi="Times New Roman" w:cs="Times New Roman"/>
          <w:sz w:val="26"/>
          <w:szCs w:val="26"/>
        </w:rPr>
        <w:t xml:space="preserve"> podwyższonych stężeń</w:t>
      </w:r>
      <w:r w:rsidR="00C201EE" w:rsidRPr="00686882">
        <w:rPr>
          <w:rFonts w:ascii="Times New Roman" w:hAnsi="Times New Roman" w:cs="Times New Roman"/>
          <w:sz w:val="26"/>
          <w:szCs w:val="26"/>
        </w:rPr>
        <w:t xml:space="preserve"> gazu łzawiącego z dużym prawdopodobieństwem</w:t>
      </w:r>
      <w:r w:rsidR="007C24C8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46715B" w:rsidRPr="00686882">
        <w:rPr>
          <w:rFonts w:ascii="Times New Roman" w:hAnsi="Times New Roman" w:cs="Times New Roman"/>
          <w:sz w:val="26"/>
          <w:szCs w:val="26"/>
        </w:rPr>
        <w:t>zwiększ</w:t>
      </w:r>
      <w:r w:rsidR="00C47654" w:rsidRPr="00686882">
        <w:rPr>
          <w:rFonts w:ascii="Times New Roman" w:hAnsi="Times New Roman" w:cs="Times New Roman"/>
          <w:sz w:val="26"/>
          <w:szCs w:val="26"/>
        </w:rPr>
        <w:t xml:space="preserve">y ryzyko wystąpienia ARI. </w:t>
      </w:r>
    </w:p>
    <w:p w14:paraId="141E5950" w14:textId="6B54FFEB" w:rsidR="00E424B9" w:rsidRPr="00686882" w:rsidRDefault="00E424B9" w:rsidP="00F62CDB">
      <w:pPr>
        <w:rPr>
          <w:rFonts w:ascii="Times New Roman" w:hAnsi="Times New Roman" w:cs="Times New Roman"/>
          <w:sz w:val="26"/>
          <w:szCs w:val="26"/>
        </w:rPr>
      </w:pPr>
    </w:p>
    <w:p w14:paraId="36EABA81" w14:textId="39C46F2C" w:rsidR="00E424B9" w:rsidRDefault="00E424B9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Według Światowej Organizacji Zdrowia, </w:t>
      </w:r>
      <w:r w:rsidRPr="007B5B93">
        <w:rPr>
          <w:rFonts w:ascii="Times New Roman" w:hAnsi="Times New Roman" w:cs="Times New Roman"/>
          <w:b/>
          <w:bCs/>
          <w:sz w:val="26"/>
          <w:szCs w:val="26"/>
        </w:rPr>
        <w:t>„wirus COVID-19 rozprzestrzenia się przede wszystkim poprzez kropelki śliny lub wydzielinę z nosa, gdy zarażona osoba kaszlnie lub kichnie”</w:t>
      </w:r>
      <w:r w:rsidRPr="007B5B93">
        <w:rPr>
          <w:rStyle w:val="Odwoanieprzypisukocowego"/>
          <w:rFonts w:ascii="Times New Roman" w:hAnsi="Times New Roman" w:cs="Times New Roman"/>
          <w:b/>
          <w:bCs/>
          <w:sz w:val="26"/>
          <w:szCs w:val="26"/>
        </w:rPr>
        <w:endnoteReference w:id="11"/>
      </w:r>
      <w:r w:rsidRPr="00686882">
        <w:rPr>
          <w:rFonts w:ascii="Times New Roman" w:hAnsi="Times New Roman" w:cs="Times New Roman"/>
          <w:sz w:val="26"/>
          <w:szCs w:val="26"/>
        </w:rPr>
        <w:t xml:space="preserve"> Drażniące środki chemiczne sprawiają, że ludzie kaszlą, kichają </w:t>
      </w:r>
      <w:r w:rsidR="00005CF7">
        <w:rPr>
          <w:rFonts w:ascii="Times New Roman" w:hAnsi="Times New Roman" w:cs="Times New Roman"/>
          <w:sz w:val="26"/>
          <w:szCs w:val="26"/>
        </w:rPr>
        <w:br/>
      </w:r>
      <w:r w:rsidRPr="00686882">
        <w:rPr>
          <w:rFonts w:ascii="Times New Roman" w:hAnsi="Times New Roman" w:cs="Times New Roman"/>
          <w:sz w:val="26"/>
          <w:szCs w:val="26"/>
        </w:rPr>
        <w:t xml:space="preserve">i pocierają oczy i twarz, a z nosa i oczu wydziela się śluz i łzy, co zwiększa ryzyko rozprzestrzeniania się wirusa. </w:t>
      </w:r>
    </w:p>
    <w:p w14:paraId="3FE9C340" w14:textId="05F4470B" w:rsidR="009618F0" w:rsidRDefault="009618F0" w:rsidP="00D503F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562DD7" w14:textId="77777777" w:rsidR="009618F0" w:rsidRPr="00686882" w:rsidRDefault="009618F0" w:rsidP="00D503F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B94689" w14:textId="7CE842F4" w:rsidR="00AE5D37" w:rsidRPr="00686882" w:rsidRDefault="00AE5D37" w:rsidP="00AE5D3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Wykorzystanie drażniących środków chemicznych </w:t>
      </w:r>
      <w:r w:rsidR="005B5306" w:rsidRPr="00686882">
        <w:rPr>
          <w:rFonts w:ascii="Times New Roman" w:hAnsi="Times New Roman" w:cs="Times New Roman"/>
          <w:b/>
          <w:bCs/>
          <w:sz w:val="26"/>
          <w:szCs w:val="26"/>
        </w:rPr>
        <w:t>w czasie</w:t>
      </w:r>
      <w:r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zgromadzeń publicznych </w:t>
      </w:r>
      <w:r w:rsidR="00B5536F" w:rsidRPr="00686882">
        <w:rPr>
          <w:rFonts w:ascii="Times New Roman" w:hAnsi="Times New Roman" w:cs="Times New Roman"/>
          <w:b/>
          <w:bCs/>
          <w:sz w:val="26"/>
          <w:szCs w:val="26"/>
        </w:rPr>
        <w:t>podczas pandemii</w:t>
      </w:r>
      <w:r w:rsidR="00D503F6"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67161DE" w14:textId="4D680F6F" w:rsidR="00AE5D37" w:rsidRPr="00686882" w:rsidRDefault="00B03EFB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Fundacja </w:t>
      </w:r>
      <w:r w:rsidR="00AE5D37" w:rsidRPr="00686882">
        <w:rPr>
          <w:rFonts w:ascii="Times New Roman" w:hAnsi="Times New Roman" w:cs="Times New Roman"/>
          <w:sz w:val="26"/>
          <w:szCs w:val="26"/>
        </w:rPr>
        <w:t xml:space="preserve">Omega </w:t>
      </w:r>
      <w:r w:rsidRPr="00686882">
        <w:rPr>
          <w:rFonts w:ascii="Times New Roman" w:hAnsi="Times New Roman" w:cs="Times New Roman"/>
          <w:sz w:val="26"/>
          <w:szCs w:val="26"/>
        </w:rPr>
        <w:t xml:space="preserve">udokumentowała przypadki </w:t>
      </w:r>
      <w:r w:rsidR="00AE5D37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Pr="00686882">
        <w:rPr>
          <w:rFonts w:ascii="Times New Roman" w:hAnsi="Times New Roman" w:cs="Times New Roman"/>
          <w:sz w:val="26"/>
          <w:szCs w:val="26"/>
        </w:rPr>
        <w:t xml:space="preserve">wykorzystania przez funkcjonariuszy organów ścigania drażniących środków chemicznych w celu egzekwowania </w:t>
      </w:r>
      <w:r w:rsidR="00F305B3" w:rsidRPr="00686882">
        <w:rPr>
          <w:rFonts w:ascii="Times New Roman" w:hAnsi="Times New Roman" w:cs="Times New Roman"/>
          <w:sz w:val="26"/>
          <w:szCs w:val="26"/>
        </w:rPr>
        <w:t xml:space="preserve">obostrzeń </w:t>
      </w:r>
      <w:r w:rsidRPr="00686882">
        <w:rPr>
          <w:rFonts w:ascii="Times New Roman" w:hAnsi="Times New Roman" w:cs="Times New Roman"/>
          <w:sz w:val="26"/>
          <w:szCs w:val="26"/>
        </w:rPr>
        <w:t>związanych z COVID-19 co najmniej w 11 krajach</w:t>
      </w:r>
      <w:r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12"/>
      </w:r>
      <w:r w:rsidRPr="00686882">
        <w:rPr>
          <w:rFonts w:ascii="Times New Roman" w:hAnsi="Times New Roman" w:cs="Times New Roman"/>
          <w:sz w:val="26"/>
          <w:szCs w:val="26"/>
        </w:rPr>
        <w:t xml:space="preserve">.  Pośród nich znalazło się m.in. użycie granatów z gazem łzawiącym przeciwko demonstrantom w Paryżu (także przeciwko osobom, które już się rozchodziły) czy wykorzystanie dużych ilości gazu łzawiącego dla przerwania zgromadzeń społecznych w La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Guaijira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w Kolumbii, co zmusiło ludzi mieszkających w pobliżu do opuszczenia swoich domów w środku nocy. </w:t>
      </w:r>
      <w:r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Użycie dużych ilości drażniących środków chemicznych w celu rozpędzenia zgromadzeń publicznych </w:t>
      </w:r>
      <w:r w:rsidR="00E4088C" w:rsidRPr="00DE3815">
        <w:rPr>
          <w:rFonts w:ascii="Times New Roman" w:hAnsi="Times New Roman" w:cs="Times New Roman"/>
          <w:b/>
          <w:bCs/>
          <w:sz w:val="26"/>
          <w:szCs w:val="26"/>
        </w:rPr>
        <w:t>raczej</w:t>
      </w:r>
      <w:r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 n</w:t>
      </w:r>
      <w:r w:rsidR="00E4088C" w:rsidRPr="00DE3815">
        <w:rPr>
          <w:rFonts w:ascii="Times New Roman" w:hAnsi="Times New Roman" w:cs="Times New Roman"/>
          <w:b/>
          <w:bCs/>
          <w:sz w:val="26"/>
          <w:szCs w:val="26"/>
        </w:rPr>
        <w:t>ie</w:t>
      </w:r>
      <w:r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 zatrzyma</w:t>
      </w:r>
      <w:r w:rsidR="00E4088C"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E3815">
        <w:rPr>
          <w:rFonts w:ascii="Times New Roman" w:hAnsi="Times New Roman" w:cs="Times New Roman"/>
          <w:b/>
          <w:bCs/>
          <w:sz w:val="26"/>
          <w:szCs w:val="26"/>
        </w:rPr>
        <w:t>COVID-19</w:t>
      </w:r>
      <w:r w:rsidR="00E4088C" w:rsidRPr="00DE3815">
        <w:rPr>
          <w:rFonts w:ascii="Times New Roman" w:hAnsi="Times New Roman" w:cs="Times New Roman"/>
          <w:b/>
          <w:bCs/>
          <w:sz w:val="26"/>
          <w:szCs w:val="26"/>
        </w:rPr>
        <w:t>, może natomiast zwiększyć ryzyko jego rozprzestrzeniania.</w:t>
      </w:r>
      <w:r w:rsidR="00E4088C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DE5BB5" w14:textId="7B710F2F" w:rsidR="0001536F" w:rsidRPr="00686882" w:rsidRDefault="0001536F" w:rsidP="00AE5D37">
      <w:pPr>
        <w:rPr>
          <w:rFonts w:ascii="Times New Roman" w:hAnsi="Times New Roman" w:cs="Times New Roman"/>
          <w:sz w:val="26"/>
          <w:szCs w:val="26"/>
        </w:rPr>
      </w:pPr>
    </w:p>
    <w:p w14:paraId="3B607583" w14:textId="47A50FE1" w:rsidR="0001536F" w:rsidRPr="00686882" w:rsidRDefault="00B82673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lastRenderedPageBreak/>
        <w:t xml:space="preserve">Zgromadzenia publiczne często wiążą się z obecnością dużych grup ludzi. Istnieje </w:t>
      </w:r>
      <w:r w:rsidR="006B7D23" w:rsidRPr="00686882">
        <w:rPr>
          <w:rFonts w:ascii="Times New Roman" w:hAnsi="Times New Roman" w:cs="Times New Roman"/>
          <w:sz w:val="26"/>
          <w:szCs w:val="26"/>
        </w:rPr>
        <w:t xml:space="preserve">wysokie </w:t>
      </w:r>
      <w:r w:rsidRPr="00686882">
        <w:rPr>
          <w:rFonts w:ascii="Times New Roman" w:hAnsi="Times New Roman" w:cs="Times New Roman"/>
          <w:sz w:val="26"/>
          <w:szCs w:val="26"/>
        </w:rPr>
        <w:t xml:space="preserve">prawdopodobieństwo, że użycie w takiej sytuacji drażniących substancji chemicznych wywoła panikę i spowoduje, że ludzie zaczną uciekać, przez co pojedyncze osoby znajdą się bardzo blisko siebie, nawet jeżeli do tej pory utrzymywały odpowiedni dystans społeczny. Kaszel, kichanie i częstsze dotykanie twarzy, wywołane zastosowaniem drażniących środków chemicznych zwiększa ryzyko rozprzestrzeniania się COVID-19 w zatłoczonych miejscach. Ryzyko to będzie jeszcze wyższe, ponieważ ludzie będą </w:t>
      </w:r>
      <w:r w:rsidR="00D267C5" w:rsidRPr="00686882">
        <w:rPr>
          <w:rFonts w:ascii="Times New Roman" w:hAnsi="Times New Roman" w:cs="Times New Roman"/>
          <w:sz w:val="26"/>
          <w:szCs w:val="26"/>
        </w:rPr>
        <w:t xml:space="preserve">zmuszeni </w:t>
      </w:r>
      <w:r w:rsidRPr="00686882">
        <w:rPr>
          <w:rFonts w:ascii="Times New Roman" w:hAnsi="Times New Roman" w:cs="Times New Roman"/>
          <w:sz w:val="26"/>
          <w:szCs w:val="26"/>
        </w:rPr>
        <w:t>zdjąć maski ochronne zanieczyszczone środkami</w:t>
      </w:r>
      <w:r w:rsidR="00574C64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Pr="00686882">
        <w:rPr>
          <w:rFonts w:ascii="Times New Roman" w:hAnsi="Times New Roman" w:cs="Times New Roman"/>
          <w:sz w:val="26"/>
          <w:szCs w:val="26"/>
        </w:rPr>
        <w:t>chemicznymi.</w:t>
      </w:r>
      <w:r w:rsidR="00D503F6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C978AF" w14:textId="4527A126" w:rsidR="00B82673" w:rsidRPr="00686882" w:rsidRDefault="00B82673" w:rsidP="00B82673">
      <w:pPr>
        <w:rPr>
          <w:rFonts w:ascii="Times New Roman" w:hAnsi="Times New Roman" w:cs="Times New Roman"/>
          <w:sz w:val="26"/>
          <w:szCs w:val="26"/>
        </w:rPr>
      </w:pPr>
    </w:p>
    <w:p w14:paraId="5963FEEF" w14:textId="263AFE66" w:rsidR="00B03EFB" w:rsidRPr="00686882" w:rsidRDefault="003D471C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DE3815">
        <w:rPr>
          <w:rFonts w:ascii="Times New Roman" w:hAnsi="Times New Roman" w:cs="Times New Roman"/>
          <w:b/>
          <w:bCs/>
          <w:sz w:val="26"/>
          <w:szCs w:val="26"/>
        </w:rPr>
        <w:t>Fakt, że większość zgromadzeń publicznych odbywa się w miastach stwarza szczególne zagrożenia w kontekście pandemii. Jeżeli do zastosowania drażniących środków chemicznych dochodzi w pobliżu obszarów mieszkalnych, istnieje ryzyko</w:t>
      </w:r>
      <w:r w:rsidR="00574C64" w:rsidRPr="00DE3815">
        <w:rPr>
          <w:rFonts w:ascii="Times New Roman" w:hAnsi="Times New Roman" w:cs="Times New Roman"/>
          <w:b/>
          <w:bCs/>
          <w:sz w:val="26"/>
          <w:szCs w:val="26"/>
        </w:rPr>
        <w:t xml:space="preserve">, że dotknie ono </w:t>
      </w:r>
      <w:r w:rsidRPr="00DE3815">
        <w:rPr>
          <w:rFonts w:ascii="Times New Roman" w:hAnsi="Times New Roman" w:cs="Times New Roman"/>
          <w:b/>
          <w:bCs/>
          <w:sz w:val="26"/>
          <w:szCs w:val="26"/>
        </w:rPr>
        <w:t>osób niebiorących udziału w zgromadzeniu. Niektóre z nich mogą cierpieć na choroby przewlekłe, które sprawiają, że COVID-19 jest dla nich szczególnie groźny.</w:t>
      </w:r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574C64" w:rsidRPr="00686882">
        <w:rPr>
          <w:rFonts w:ascii="Times New Roman" w:hAnsi="Times New Roman" w:cs="Times New Roman"/>
          <w:sz w:val="26"/>
          <w:szCs w:val="26"/>
        </w:rPr>
        <w:t xml:space="preserve">Także ze względu na to, że </w:t>
      </w:r>
      <w:r w:rsidR="001320E3" w:rsidRPr="00686882">
        <w:rPr>
          <w:rFonts w:ascii="Times New Roman" w:hAnsi="Times New Roman" w:cs="Times New Roman"/>
          <w:sz w:val="26"/>
          <w:szCs w:val="26"/>
        </w:rPr>
        <w:t xml:space="preserve">tłum nie stanowi struktury </w:t>
      </w:r>
      <w:r w:rsidR="00044549" w:rsidRPr="00686882">
        <w:rPr>
          <w:rFonts w:ascii="Times New Roman" w:hAnsi="Times New Roman" w:cs="Times New Roman"/>
          <w:sz w:val="26"/>
          <w:szCs w:val="26"/>
        </w:rPr>
        <w:t>jednorodnej</w:t>
      </w:r>
      <w:r w:rsidR="00574C64" w:rsidRPr="00686882">
        <w:rPr>
          <w:rFonts w:ascii="Times New Roman" w:hAnsi="Times New Roman" w:cs="Times New Roman"/>
          <w:sz w:val="26"/>
          <w:szCs w:val="26"/>
        </w:rPr>
        <w:t xml:space="preserve">, </w:t>
      </w:r>
      <w:r w:rsidR="001320E3" w:rsidRPr="00686882">
        <w:rPr>
          <w:rFonts w:ascii="Times New Roman" w:hAnsi="Times New Roman" w:cs="Times New Roman"/>
          <w:sz w:val="26"/>
          <w:szCs w:val="26"/>
        </w:rPr>
        <w:t>funkcjonariusze organów ścigania nie zawsze są w stanie stwierdzić czy znajdują się w nim osoby przewlekle chore. Dowódcy powinni wziąć to ryzyko pod uwagę podczas</w:t>
      </w:r>
      <w:r w:rsidR="009446E9" w:rsidRPr="00686882">
        <w:rPr>
          <w:rFonts w:ascii="Times New Roman" w:hAnsi="Times New Roman" w:cs="Times New Roman"/>
          <w:sz w:val="26"/>
          <w:szCs w:val="26"/>
        </w:rPr>
        <w:t xml:space="preserve"> oceniania</w:t>
      </w:r>
      <w:r w:rsidR="001320E3" w:rsidRPr="00686882">
        <w:rPr>
          <w:rFonts w:ascii="Times New Roman" w:hAnsi="Times New Roman" w:cs="Times New Roman"/>
          <w:sz w:val="26"/>
          <w:szCs w:val="26"/>
        </w:rPr>
        <w:t xml:space="preserve">, czy użycie drażniących środków chemicznych będzie zgodne z zasadą proporcjonalności. </w:t>
      </w:r>
    </w:p>
    <w:p w14:paraId="7168FB0B" w14:textId="6373C7EF" w:rsidR="00982AA2" w:rsidRPr="00686882" w:rsidRDefault="00982AA2" w:rsidP="00AE5D37">
      <w:pPr>
        <w:rPr>
          <w:rFonts w:ascii="Times New Roman" w:hAnsi="Times New Roman" w:cs="Times New Roman"/>
          <w:sz w:val="26"/>
          <w:szCs w:val="26"/>
        </w:rPr>
      </w:pPr>
    </w:p>
    <w:p w14:paraId="6BCA0E3D" w14:textId="09E05948" w:rsidR="00982AA2" w:rsidRPr="00686882" w:rsidRDefault="00982AA2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Pandemia zbiegła się w czasie z globalnym ruchem Black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Lives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Matter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i innymi protestami</w:t>
      </w:r>
      <w:r w:rsidR="009446E9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Pr="00686882">
        <w:rPr>
          <w:rFonts w:ascii="Times New Roman" w:hAnsi="Times New Roman" w:cs="Times New Roman"/>
          <w:sz w:val="26"/>
          <w:szCs w:val="26"/>
        </w:rPr>
        <w:t>na tle społecznym, a</w:t>
      </w:r>
      <w:r w:rsidR="00183341" w:rsidRPr="00686882">
        <w:rPr>
          <w:rFonts w:ascii="Times New Roman" w:hAnsi="Times New Roman" w:cs="Times New Roman"/>
          <w:sz w:val="26"/>
          <w:szCs w:val="26"/>
        </w:rPr>
        <w:t xml:space="preserve"> w wielu krajach nadal stosuje się na dużą skalę drażniące środki chemiczne do rozpędzania zgromadzeń publicznych. </w:t>
      </w:r>
      <w:r w:rsidR="004F6C35" w:rsidRPr="00686882">
        <w:rPr>
          <w:rFonts w:ascii="Times New Roman" w:hAnsi="Times New Roman" w:cs="Times New Roman"/>
          <w:sz w:val="26"/>
          <w:szCs w:val="26"/>
        </w:rPr>
        <w:t>Dla przykładu, raporty</w:t>
      </w:r>
      <w:r w:rsidR="00C33B6C" w:rsidRPr="00686882">
        <w:rPr>
          <w:rFonts w:ascii="Times New Roman" w:hAnsi="Times New Roman" w:cs="Times New Roman"/>
          <w:sz w:val="26"/>
          <w:szCs w:val="26"/>
        </w:rPr>
        <w:t xml:space="preserve"> Projektu danych lokalizacji i przebiegu </w:t>
      </w:r>
      <w:r w:rsidR="006F67B2" w:rsidRPr="00686882">
        <w:rPr>
          <w:rFonts w:ascii="Times New Roman" w:hAnsi="Times New Roman" w:cs="Times New Roman"/>
          <w:sz w:val="26"/>
          <w:szCs w:val="26"/>
        </w:rPr>
        <w:t xml:space="preserve">konfliktów zbrojnych </w:t>
      </w:r>
      <w:r w:rsidR="004F6C35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4B4367" w:rsidRPr="0068688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Armed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Conflict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Location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&amp; Event Data Project</w:t>
      </w:r>
      <w:r w:rsidR="00B3496E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4B4367" w:rsidRPr="00686882">
        <w:rPr>
          <w:rFonts w:ascii="Times New Roman" w:hAnsi="Times New Roman" w:cs="Times New Roman"/>
          <w:sz w:val="26"/>
          <w:szCs w:val="26"/>
        </w:rPr>
        <w:t xml:space="preserve">- </w:t>
      </w:r>
      <w:r w:rsidRPr="00686882">
        <w:rPr>
          <w:rFonts w:ascii="Times New Roman" w:hAnsi="Times New Roman" w:cs="Times New Roman"/>
          <w:sz w:val="26"/>
          <w:szCs w:val="26"/>
        </w:rPr>
        <w:t>ACLED)</w:t>
      </w:r>
      <w:r w:rsidR="004B4367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4F6C35" w:rsidRPr="00686882">
        <w:rPr>
          <w:rFonts w:ascii="Times New Roman" w:hAnsi="Times New Roman" w:cs="Times New Roman"/>
          <w:sz w:val="26"/>
          <w:szCs w:val="26"/>
        </w:rPr>
        <w:t>wykazują, że</w:t>
      </w:r>
      <w:r w:rsidR="007D7B73" w:rsidRPr="00686882">
        <w:rPr>
          <w:rFonts w:ascii="Times New Roman" w:hAnsi="Times New Roman" w:cs="Times New Roman"/>
          <w:sz w:val="26"/>
          <w:szCs w:val="26"/>
        </w:rPr>
        <w:t xml:space="preserve"> amerykańscy</w:t>
      </w:r>
      <w:r w:rsidR="004F6C35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7D7B73" w:rsidRPr="00686882">
        <w:rPr>
          <w:rFonts w:ascii="Times New Roman" w:hAnsi="Times New Roman" w:cs="Times New Roman"/>
          <w:sz w:val="26"/>
          <w:szCs w:val="26"/>
        </w:rPr>
        <w:t xml:space="preserve">funkcjonariusze </w:t>
      </w:r>
      <w:r w:rsidR="004B4367" w:rsidRPr="00686882">
        <w:rPr>
          <w:rFonts w:ascii="Times New Roman" w:hAnsi="Times New Roman" w:cs="Times New Roman"/>
          <w:sz w:val="26"/>
          <w:szCs w:val="26"/>
        </w:rPr>
        <w:t xml:space="preserve">ochrony bezpieczeństwa publicznego </w:t>
      </w:r>
      <w:r w:rsidR="007D7B73" w:rsidRPr="00686882">
        <w:rPr>
          <w:rFonts w:ascii="Times New Roman" w:hAnsi="Times New Roman" w:cs="Times New Roman"/>
          <w:sz w:val="26"/>
          <w:szCs w:val="26"/>
        </w:rPr>
        <w:t xml:space="preserve">użyli siły (łącznie z gazem łzawiącym </w:t>
      </w:r>
      <w:r w:rsidR="00005CF7">
        <w:rPr>
          <w:rFonts w:ascii="Times New Roman" w:hAnsi="Times New Roman" w:cs="Times New Roman"/>
          <w:sz w:val="26"/>
          <w:szCs w:val="26"/>
        </w:rPr>
        <w:br/>
      </w:r>
      <w:r w:rsidR="007D7B73" w:rsidRPr="00686882">
        <w:rPr>
          <w:rFonts w:ascii="Times New Roman" w:hAnsi="Times New Roman" w:cs="Times New Roman"/>
          <w:sz w:val="26"/>
          <w:szCs w:val="26"/>
        </w:rPr>
        <w:t>i pieprzowym) w 54% demonstracji, którymi zajmowali się od 24 maja do 22 sierpnia 2020 roku.</w:t>
      </w:r>
      <w:r w:rsidR="007D7B73" w:rsidRPr="00686882">
        <w:rPr>
          <w:rStyle w:val="Odwoanieprzypisukocowego"/>
          <w:rFonts w:ascii="Times New Roman" w:hAnsi="Times New Roman" w:cs="Times New Roman"/>
          <w:sz w:val="26"/>
          <w:szCs w:val="26"/>
        </w:rPr>
        <w:endnoteReference w:id="13"/>
      </w:r>
      <w:r w:rsidR="00D503F6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C2D912" w14:textId="77777777" w:rsidR="006A47D1" w:rsidRPr="00686882" w:rsidRDefault="006A47D1" w:rsidP="00982AA2">
      <w:pPr>
        <w:rPr>
          <w:rFonts w:ascii="Times New Roman" w:hAnsi="Times New Roman" w:cs="Times New Roman"/>
          <w:sz w:val="26"/>
          <w:szCs w:val="26"/>
        </w:rPr>
      </w:pPr>
    </w:p>
    <w:p w14:paraId="78DBAA9B" w14:textId="7ECDC631" w:rsidR="007D7B73" w:rsidRPr="00686882" w:rsidRDefault="006A47D1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Przypadki użycia gazu łzawiącego i pieprzowego w czasie pandemii udokumentowały również organizacje działające na rzecz ochrony praw człowieka. Na przestrzeni zaledwie 12 dni od 15 maja 2020 roku,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Amnesty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International udokumentowała 89 sytuacji, w 34 stanach w USA, w których gaz łzawiący został użyty „niepotrzebnie” </w:t>
      </w:r>
      <w:r w:rsidR="00005CF7">
        <w:rPr>
          <w:rFonts w:ascii="Times New Roman" w:hAnsi="Times New Roman" w:cs="Times New Roman"/>
          <w:sz w:val="26"/>
          <w:szCs w:val="26"/>
        </w:rPr>
        <w:br/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>i dodatkowe 21, w których gaz pieprzowy został użyty „niezgodnie z prawem”</w:t>
      </w:r>
      <w:r w:rsidRPr="00686882">
        <w:rPr>
          <w:rStyle w:val="Odwoanieprzypisukocowego"/>
          <w:rFonts w:ascii="Times New Roman" w:hAnsi="Times New Roman" w:cs="Times New Roman"/>
          <w:color w:val="000000"/>
          <w:sz w:val="26"/>
          <w:szCs w:val="26"/>
        </w:rPr>
        <w:endnoteReference w:id="14"/>
      </w:r>
      <w:r w:rsidR="008524E0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C4294" w:rsidRPr="00686882">
        <w:rPr>
          <w:rFonts w:ascii="Times New Roman" w:hAnsi="Times New Roman" w:cs="Times New Roman"/>
          <w:color w:val="000000"/>
          <w:sz w:val="26"/>
          <w:szCs w:val="26"/>
        </w:rPr>
        <w:t>Według raportu „drażniące środki chemiczne zostały wykorzystane do rozpędzenia pokojowego zgromadzenia lub w odpowiedzi na niezastosowanie się części protestujących do pewnego polecenia w pierwszej kolejności, a nie jako ostateczne rozwiązanie w odpowiedzi na masowe stosowanie przemocy przez demonstrantów”</w:t>
      </w:r>
      <w:r w:rsidR="004C4294" w:rsidRPr="00686882">
        <w:rPr>
          <w:rStyle w:val="Odwoanieprzypisukocowego"/>
          <w:rFonts w:ascii="Times New Roman" w:hAnsi="Times New Roman" w:cs="Times New Roman"/>
          <w:color w:val="000000"/>
          <w:sz w:val="26"/>
          <w:szCs w:val="26"/>
        </w:rPr>
        <w:endnoteReference w:id="15"/>
      </w:r>
      <w:r w:rsidR="004C4294" w:rsidRPr="00686882">
        <w:rPr>
          <w:rFonts w:ascii="Times New Roman" w:hAnsi="Times New Roman" w:cs="Times New Roman"/>
          <w:color w:val="000000"/>
          <w:sz w:val="26"/>
          <w:szCs w:val="26"/>
        </w:rPr>
        <w:t>. Takie wykorzystanie stanowiło naruszenie międzynarodowych standardów użycia siły i byłoby poważnym zagrożeniem dla zdrowia publicznego w czasie pandemii.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F3A64B5" w14:textId="6FC467EB" w:rsidR="00F167E8" w:rsidRPr="00686882" w:rsidRDefault="00D50A8D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color w:val="000000"/>
          <w:sz w:val="26"/>
          <w:szCs w:val="26"/>
        </w:rPr>
        <w:lastRenderedPageBreak/>
        <w:t>W odpowiedzi na powtarzające się przypadki arbitralnego użycia gazu łzawiącego przeciwko pokojowym protestującym kilka amerykańskich miast zawiesiło lub ograniczyło możliwość ich wykorzystania</w:t>
      </w:r>
      <w:r w:rsidRPr="00686882">
        <w:rPr>
          <w:rStyle w:val="Odwoanieprzypisukocowego"/>
          <w:rFonts w:ascii="Times New Roman" w:hAnsi="Times New Roman" w:cs="Times New Roman"/>
          <w:color w:val="000000"/>
          <w:sz w:val="26"/>
          <w:szCs w:val="26"/>
        </w:rPr>
        <w:endnoteReference w:id="16"/>
      </w:r>
      <w:r w:rsidR="00DD0C08" w:rsidRPr="0068688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5748" w:rsidRPr="00686882">
        <w:rPr>
          <w:rFonts w:ascii="Times New Roman" w:hAnsi="Times New Roman" w:cs="Times New Roman"/>
          <w:sz w:val="26"/>
          <w:szCs w:val="26"/>
        </w:rPr>
        <w:t xml:space="preserve">Fundacja Omega uważa, że decyzja </w:t>
      </w:r>
      <w:r w:rsidR="00005CF7">
        <w:rPr>
          <w:rFonts w:ascii="Times New Roman" w:hAnsi="Times New Roman" w:cs="Times New Roman"/>
          <w:sz w:val="26"/>
          <w:szCs w:val="26"/>
        </w:rPr>
        <w:br/>
      </w:r>
      <w:r w:rsidR="00855748" w:rsidRPr="00686882">
        <w:rPr>
          <w:rFonts w:ascii="Times New Roman" w:hAnsi="Times New Roman" w:cs="Times New Roman"/>
          <w:sz w:val="26"/>
          <w:szCs w:val="26"/>
        </w:rPr>
        <w:t>o zawieszeni</w:t>
      </w:r>
      <w:r w:rsidR="00DD0C08" w:rsidRPr="00686882">
        <w:rPr>
          <w:rFonts w:ascii="Times New Roman" w:hAnsi="Times New Roman" w:cs="Times New Roman"/>
          <w:sz w:val="26"/>
          <w:szCs w:val="26"/>
        </w:rPr>
        <w:t>u ich stosowania</w:t>
      </w:r>
      <w:r w:rsidR="00855748" w:rsidRPr="00686882">
        <w:rPr>
          <w:rFonts w:ascii="Times New Roman" w:hAnsi="Times New Roman" w:cs="Times New Roman"/>
          <w:sz w:val="26"/>
          <w:szCs w:val="26"/>
        </w:rPr>
        <w:t xml:space="preserve"> jest słuszna w obliczu poważnych i powtarzających się nadużyć. Ponadto jest ona zgodna z zasadą ostrożności, zwłaszcza w świetle badań na temat zależności między wystawieniem na działanie drażniących substancji chemicznych a rozprzestrzenianiem się COVID-19. </w:t>
      </w:r>
      <w:r w:rsidR="00263FA1" w:rsidRPr="004708FF">
        <w:rPr>
          <w:rFonts w:ascii="Times New Roman" w:hAnsi="Times New Roman" w:cs="Times New Roman"/>
          <w:b/>
          <w:bCs/>
          <w:sz w:val="26"/>
          <w:szCs w:val="26"/>
        </w:rPr>
        <w:t>Zdaniem Fundacji, tam gdzie nie dochodziło do nadużyć i zachowane były odpowiednie mechanizmy bezpieczeństwa, w sytuacji bezpośredniego niebezpieczeństwo wystąpienia urazów lub gdy może dojść do konieczności zastosowania bardziej szkodliwych środków, dopuszczalne jest w ostateczności wykorzystanie drażniących substancji chemicznych. Jednak nawet wtedy, funkcjonariusze organów ścigania powinni używać najmniejszej ilości środków drażniących przez najkrótszy czas niezbędny do obniżenia poziomu przemocy i odzyskania kontroli.</w:t>
      </w:r>
      <w:r w:rsidR="00263FA1" w:rsidRPr="00686882">
        <w:rPr>
          <w:rFonts w:ascii="Times New Roman" w:hAnsi="Times New Roman" w:cs="Times New Roman"/>
          <w:sz w:val="26"/>
          <w:szCs w:val="26"/>
        </w:rPr>
        <w:t xml:space="preserve"> Drażniące środki chemiczne nie mogą być wykorzystywane w zamkniętych pomieszczeniach lub tam, gdzie możliwości rozejścia się tłumu są ograniczone. </w:t>
      </w:r>
      <w:r w:rsidR="00F167E8" w:rsidRPr="00686882">
        <w:rPr>
          <w:rFonts w:ascii="Times New Roman" w:hAnsi="Times New Roman" w:cs="Times New Roman"/>
          <w:sz w:val="26"/>
          <w:szCs w:val="26"/>
        </w:rPr>
        <w:t xml:space="preserve">Należy podjąć wszelkie starania w celu uniknięcia narażenia </w:t>
      </w:r>
      <w:r w:rsidR="00CC507E" w:rsidRPr="00686882">
        <w:rPr>
          <w:rFonts w:ascii="Times New Roman" w:hAnsi="Times New Roman" w:cs="Times New Roman"/>
          <w:sz w:val="26"/>
          <w:szCs w:val="26"/>
        </w:rPr>
        <w:t xml:space="preserve">mieszkających w pobliżu osób </w:t>
      </w:r>
      <w:r w:rsidR="00F167E8" w:rsidRPr="00686882">
        <w:rPr>
          <w:rFonts w:ascii="Times New Roman" w:hAnsi="Times New Roman" w:cs="Times New Roman"/>
          <w:sz w:val="26"/>
          <w:szCs w:val="26"/>
        </w:rPr>
        <w:t xml:space="preserve">na szkodliwe działanie środków. Nie wolno ich także używać jedynie w celu ochrony mienia. </w:t>
      </w:r>
    </w:p>
    <w:p w14:paraId="3BAABDD1" w14:textId="0091E289" w:rsidR="00B03EFB" w:rsidRPr="00686882" w:rsidRDefault="00B03EFB" w:rsidP="00AE5D37">
      <w:pPr>
        <w:rPr>
          <w:rFonts w:ascii="Times New Roman" w:hAnsi="Times New Roman" w:cs="Times New Roman"/>
          <w:sz w:val="26"/>
          <w:szCs w:val="26"/>
        </w:rPr>
      </w:pPr>
    </w:p>
    <w:p w14:paraId="2957C32C" w14:textId="5812FEFA" w:rsidR="007544D1" w:rsidRPr="00686882" w:rsidRDefault="007544D1" w:rsidP="007544D1">
      <w:pPr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………………………</w:t>
      </w:r>
    </w:p>
    <w:p w14:paraId="613DD905" w14:textId="7125712C" w:rsidR="00AB6ED7" w:rsidRPr="00686882" w:rsidRDefault="00AB6ED7" w:rsidP="00AB6ED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sz w:val="26"/>
          <w:szCs w:val="26"/>
        </w:rPr>
        <w:t>Zalecenie</w:t>
      </w:r>
      <w:r w:rsidR="00D503F6"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D7CD59B" w14:textId="08519874" w:rsidR="00F368A5" w:rsidRPr="00686882" w:rsidRDefault="00AB6ED7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Organizacja Omega </w:t>
      </w:r>
      <w:proofErr w:type="spellStart"/>
      <w:r w:rsidRPr="00686882">
        <w:rPr>
          <w:rFonts w:ascii="Times New Roman" w:hAnsi="Times New Roman" w:cs="Times New Roman"/>
          <w:sz w:val="26"/>
          <w:szCs w:val="26"/>
        </w:rPr>
        <w:t>Research</w:t>
      </w:r>
      <w:proofErr w:type="spellEnd"/>
      <w:r w:rsidRPr="00686882">
        <w:rPr>
          <w:rFonts w:ascii="Times New Roman" w:hAnsi="Times New Roman" w:cs="Times New Roman"/>
          <w:sz w:val="26"/>
          <w:szCs w:val="26"/>
        </w:rPr>
        <w:t xml:space="preserve"> Foundation zaleca</w:t>
      </w:r>
      <w:r w:rsidR="00F368A5" w:rsidRPr="00686882">
        <w:rPr>
          <w:rFonts w:ascii="Times New Roman" w:hAnsi="Times New Roman" w:cs="Times New Roman"/>
          <w:sz w:val="26"/>
          <w:szCs w:val="26"/>
        </w:rPr>
        <w:t xml:space="preserve"> pilne</w:t>
      </w:r>
      <w:r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A21C4A" w:rsidRPr="00686882">
        <w:rPr>
          <w:rFonts w:ascii="Times New Roman" w:hAnsi="Times New Roman" w:cs="Times New Roman"/>
          <w:sz w:val="26"/>
          <w:szCs w:val="26"/>
        </w:rPr>
        <w:t>dostosowanie</w:t>
      </w:r>
      <w:r w:rsidR="00F368A5" w:rsidRPr="00686882">
        <w:rPr>
          <w:rFonts w:ascii="Times New Roman" w:hAnsi="Times New Roman" w:cs="Times New Roman"/>
          <w:sz w:val="26"/>
          <w:szCs w:val="26"/>
        </w:rPr>
        <w:t xml:space="preserve"> użycia drażniących środków chemicznych w kontekście zgromadzeń publicznych do międzynarodowych standardów </w:t>
      </w:r>
      <w:r w:rsidR="003C166B" w:rsidRPr="00686882">
        <w:rPr>
          <w:rFonts w:ascii="Times New Roman" w:hAnsi="Times New Roman" w:cs="Times New Roman"/>
          <w:sz w:val="26"/>
          <w:szCs w:val="26"/>
        </w:rPr>
        <w:t>w zakresie</w:t>
      </w:r>
      <w:r w:rsidR="00F368A5" w:rsidRPr="00686882">
        <w:rPr>
          <w:rFonts w:ascii="Times New Roman" w:hAnsi="Times New Roman" w:cs="Times New Roman"/>
          <w:sz w:val="26"/>
          <w:szCs w:val="26"/>
        </w:rPr>
        <w:t xml:space="preserve"> praw człowieka, zwłaszcza wobec ryzyka przyspieszenia rozprzestrzeniania się COVID-19. </w:t>
      </w:r>
    </w:p>
    <w:p w14:paraId="5D14CFBD" w14:textId="5757B809" w:rsidR="00AB6ED7" w:rsidRPr="00686882" w:rsidRDefault="00FE4A4A" w:rsidP="00D503F6">
      <w:pPr>
        <w:jc w:val="both"/>
        <w:rPr>
          <w:rFonts w:ascii="Times New Roman" w:hAnsi="Times New Roman" w:cs="Times New Roman"/>
          <w:sz w:val="26"/>
          <w:szCs w:val="26"/>
        </w:rPr>
      </w:pPr>
      <w:r w:rsidRPr="00686882">
        <w:rPr>
          <w:rFonts w:ascii="Times New Roman" w:hAnsi="Times New Roman" w:cs="Times New Roman"/>
          <w:sz w:val="26"/>
          <w:szCs w:val="26"/>
        </w:rPr>
        <w:t xml:space="preserve">Mogą być one stosowane tylko wtedy, gdy </w:t>
      </w:r>
      <w:r w:rsidR="009600C7" w:rsidRPr="00686882">
        <w:rPr>
          <w:rFonts w:ascii="Times New Roman" w:hAnsi="Times New Roman" w:cs="Times New Roman"/>
          <w:sz w:val="26"/>
          <w:szCs w:val="26"/>
        </w:rPr>
        <w:t xml:space="preserve">poziom przemocy jest na tyle wysoki, że funkcjonariusze organów ścigania nie mogą zażegnać niebezpieczeństwa poprzez działania ukierunkowane bezpośrednio na osoby </w:t>
      </w:r>
      <w:r w:rsidR="00005CF7">
        <w:rPr>
          <w:rFonts w:ascii="Times New Roman" w:hAnsi="Times New Roman" w:cs="Times New Roman"/>
          <w:sz w:val="26"/>
          <w:szCs w:val="26"/>
        </w:rPr>
        <w:t>agresywne</w:t>
      </w:r>
      <w:r w:rsidR="009600C7" w:rsidRPr="00686882">
        <w:rPr>
          <w:rFonts w:ascii="Times New Roman" w:hAnsi="Times New Roman" w:cs="Times New Roman"/>
          <w:sz w:val="26"/>
          <w:szCs w:val="26"/>
        </w:rPr>
        <w:t xml:space="preserve">. Nawet wówczas można użyć jedynie najmniejszej niezbędnej ilości środków, tylko po wydaniu odpowiedniego ostrzeżenia, które da ludziom czas na działanie i pozwoli na udanie się właściwą drogą ewakuacji </w:t>
      </w:r>
      <w:r w:rsidR="00036DDE" w:rsidRPr="00686882">
        <w:rPr>
          <w:rFonts w:ascii="Times New Roman" w:hAnsi="Times New Roman" w:cs="Times New Roman"/>
          <w:sz w:val="26"/>
          <w:szCs w:val="26"/>
        </w:rPr>
        <w:t xml:space="preserve">w </w:t>
      </w:r>
      <w:r w:rsidR="009600C7" w:rsidRPr="00686882">
        <w:rPr>
          <w:rFonts w:ascii="Times New Roman" w:hAnsi="Times New Roman" w:cs="Times New Roman"/>
          <w:sz w:val="26"/>
          <w:szCs w:val="26"/>
        </w:rPr>
        <w:t>bezpieczne miejsc</w:t>
      </w:r>
      <w:r w:rsidR="00036DDE" w:rsidRPr="00686882">
        <w:rPr>
          <w:rFonts w:ascii="Times New Roman" w:hAnsi="Times New Roman" w:cs="Times New Roman"/>
          <w:sz w:val="26"/>
          <w:szCs w:val="26"/>
        </w:rPr>
        <w:t>e</w:t>
      </w:r>
      <w:r w:rsidR="009600C7" w:rsidRPr="00686882">
        <w:rPr>
          <w:rFonts w:ascii="Times New Roman" w:hAnsi="Times New Roman" w:cs="Times New Roman"/>
          <w:sz w:val="26"/>
          <w:szCs w:val="26"/>
        </w:rPr>
        <w:t xml:space="preserve">. </w:t>
      </w:r>
      <w:r w:rsidR="00AB6ED7" w:rsidRPr="00686882">
        <w:rPr>
          <w:rFonts w:ascii="Times New Roman" w:hAnsi="Times New Roman" w:cs="Times New Roman"/>
          <w:sz w:val="26"/>
          <w:szCs w:val="26"/>
        </w:rPr>
        <w:t xml:space="preserve"> </w:t>
      </w:r>
      <w:r w:rsidR="003350C7" w:rsidRPr="00686882">
        <w:rPr>
          <w:rFonts w:ascii="Times New Roman" w:hAnsi="Times New Roman" w:cs="Times New Roman"/>
          <w:sz w:val="26"/>
          <w:szCs w:val="26"/>
        </w:rPr>
        <w:t xml:space="preserve">W miejscach, gdzie dochodziło do powtarzających się </w:t>
      </w:r>
      <w:r w:rsidR="00260143" w:rsidRPr="00686882">
        <w:rPr>
          <w:rFonts w:ascii="Times New Roman" w:hAnsi="Times New Roman" w:cs="Times New Roman"/>
          <w:sz w:val="26"/>
          <w:szCs w:val="26"/>
        </w:rPr>
        <w:t xml:space="preserve">przypadków rzekomo bezprawnego użycia drażniących środków chemicznych, ich stosowanie powinno być zawieszone do czasu, gdy podjęte zostaną kroki dostosowujące i użycie do międzynarodowych standardów </w:t>
      </w:r>
      <w:r w:rsidR="003C166B" w:rsidRPr="00686882">
        <w:rPr>
          <w:rFonts w:ascii="Times New Roman" w:hAnsi="Times New Roman" w:cs="Times New Roman"/>
          <w:sz w:val="26"/>
          <w:szCs w:val="26"/>
        </w:rPr>
        <w:t xml:space="preserve">w zakresie </w:t>
      </w:r>
      <w:r w:rsidR="00260143" w:rsidRPr="00686882">
        <w:rPr>
          <w:rFonts w:ascii="Times New Roman" w:hAnsi="Times New Roman" w:cs="Times New Roman"/>
          <w:sz w:val="26"/>
          <w:szCs w:val="26"/>
        </w:rPr>
        <w:t>praw człowieka.</w:t>
      </w:r>
      <w:r w:rsidR="00D503F6" w:rsidRPr="006868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E5A692" w14:textId="26E747A0" w:rsidR="00A21C4A" w:rsidRPr="00686882" w:rsidRDefault="00A21C4A" w:rsidP="00AB6ED7">
      <w:pPr>
        <w:rPr>
          <w:rFonts w:ascii="Times New Roman" w:hAnsi="Times New Roman" w:cs="Times New Roman"/>
          <w:sz w:val="26"/>
          <w:szCs w:val="26"/>
        </w:rPr>
      </w:pPr>
    </w:p>
    <w:p w14:paraId="3236E34B" w14:textId="0F7C3C74" w:rsidR="007544D1" w:rsidRPr="00686882" w:rsidRDefault="007544D1" w:rsidP="007544D1">
      <w:pPr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A0829" w14:textId="77777777" w:rsidR="00D503F6" w:rsidRPr="00686882" w:rsidRDefault="004D63F0" w:rsidP="00AB6ED7">
      <w:pPr>
        <w:rPr>
          <w:rFonts w:ascii="Times New Roman" w:hAnsi="Times New Roman" w:cs="Times New Roman"/>
          <w:color w:val="328D9F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Zwiększone </w:t>
      </w:r>
      <w:r w:rsidR="00BF1EEF" w:rsidRPr="00686882">
        <w:rPr>
          <w:rFonts w:ascii="Times New Roman" w:hAnsi="Times New Roman" w:cs="Times New Roman"/>
          <w:b/>
          <w:bCs/>
          <w:sz w:val="26"/>
          <w:szCs w:val="26"/>
        </w:rPr>
        <w:t>ryzyko użycia</w:t>
      </w:r>
      <w:r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drażniących środków chemicznych w miejscach pozbawienia wolności</w:t>
      </w:r>
      <w:r w:rsidR="00D503F6" w:rsidRPr="006868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674CB6B" w14:textId="2C27F70C" w:rsidR="00A21C4A" w:rsidRPr="00686882" w:rsidRDefault="00F65D13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W przypadku wykorzystania podczas pandemii drażniących środków chemicznych </w:t>
      </w:r>
      <w:r w:rsidR="00005CF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w miejscach pozbawienia wolności, ich wpływ na więźniów będzie prawdopodobnie bardziej dotkliwy niż na osoby w przypadkach opisanych powyżej. </w:t>
      </w:r>
      <w:r w:rsidR="001F014C" w:rsidRPr="00686882">
        <w:rPr>
          <w:rFonts w:ascii="Times New Roman" w:hAnsi="Times New Roman" w:cs="Times New Roman"/>
          <w:color w:val="000000"/>
          <w:sz w:val="26"/>
          <w:szCs w:val="26"/>
        </w:rPr>
        <w:t>Dzieje się tak z kilku powodów.</w:t>
      </w:r>
    </w:p>
    <w:p w14:paraId="21267BD6" w14:textId="1042A4A9" w:rsidR="003E3E47" w:rsidRPr="00686882" w:rsidRDefault="00926CF9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Po pierwsze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, więźniowie często przetrzymywani są w zamkniętych przestrzeniach </w:t>
      </w:r>
      <w:r w:rsidR="00005CF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>o słabej wentylacji, gdzie wystawienie na wysokie stężenia drażniących środków chemicznych wiąże się z podwyższonym ryzykiem poważnych urazów lub śmierci.</w:t>
      </w:r>
      <w:r w:rsidRPr="00686882">
        <w:rPr>
          <w:rStyle w:val="Odwoanieprzypisukocowego"/>
          <w:rFonts w:ascii="Times New Roman" w:hAnsi="Times New Roman" w:cs="Times New Roman"/>
          <w:color w:val="000000"/>
          <w:sz w:val="26"/>
          <w:szCs w:val="26"/>
        </w:rPr>
        <w:endnoteReference w:id="17"/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5CF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W miejscach pozbawienia istnieje większe prawdopodobieństwo wystąpienia wysokich stężeń substancji, zwłaszcza jeśli ich użycie ma charakter przedłużony lub powtarzający się czy też w sytuacji, gdy więźniom nie zapewniono </w:t>
      </w:r>
      <w:r w:rsidR="0099000B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skutecznej drogi ewakuacyjnej do nieskażonej przestrzeni/na świeże powietrze lub nie mogą oni w pełni się odkazić (np. poprzez oczyszczenie skażonych przestrzeni, zmianę ubrań etc.). </w:t>
      </w:r>
      <w:r w:rsidR="00742272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Zgromadzenia publiczne z kolei, zazwyczaj odbywają się na świeżym powietrzu, a ich uczestnicy mają z reguły większe możliwości opuszczenia skażonego miejsca. </w:t>
      </w:r>
    </w:p>
    <w:p w14:paraId="2831D027" w14:textId="2333B2FA" w:rsidR="00F2489A" w:rsidRPr="00686882" w:rsidRDefault="00742272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Po drugie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2489A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wywoływanie kaszlu i kichania u osób przetrzymywanych w zamkniętych </w:t>
      </w:r>
      <w:r w:rsidR="00005CF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2489A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i często przepełnionych więzieniach niesie za sobą wyższe ryzyko przeniesienia wirusa przez nosicieli, niż w przypadku zgromadzeń publicznych odbywających się na świeżym powietrzu. </w:t>
      </w:r>
    </w:p>
    <w:p w14:paraId="7710C3D9" w14:textId="133AA998" w:rsidR="00A21C4A" w:rsidRPr="00686882" w:rsidRDefault="00715F86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Po trzecie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, osoby pozbawione wolności często pochodzą z wrażliwych warstw społeczno-ekonomicznych. </w:t>
      </w:r>
      <w:r w:rsidR="00A21C4A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>W wielu przypadkach mieli ograniczony dostęp do opieki zdrowotnej przed osadzeniem, czego skutki mogą być dodatkowo uwydatnione przez niskiej jako</w:t>
      </w:r>
      <w:r w:rsidR="009B03BD" w:rsidRPr="00686882">
        <w:rPr>
          <w:rFonts w:ascii="Times New Roman" w:hAnsi="Times New Roman" w:cs="Times New Roman"/>
          <w:color w:val="000000"/>
          <w:sz w:val="26"/>
          <w:szCs w:val="26"/>
        </w:rPr>
        <w:t>ści służbę zdrowia w więzieniach, a także niewłaściwe żywienie i/lub nadużywanie substancji</w:t>
      </w:r>
      <w:r w:rsidR="0087139E" w:rsidRPr="0068688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B03BD" w:rsidRPr="00686882">
        <w:rPr>
          <w:rStyle w:val="Odwoanieprzypisukocowego"/>
          <w:rFonts w:ascii="Times New Roman" w:hAnsi="Times New Roman" w:cs="Times New Roman"/>
          <w:color w:val="000000"/>
          <w:sz w:val="26"/>
          <w:szCs w:val="26"/>
        </w:rPr>
        <w:endnoteReference w:id="18"/>
      </w:r>
      <w:r w:rsidR="0087139E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7BC0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Te zagrożenia pogłębiają się w czasie pandemii, kiedy dostęp do pracowników służby zdrowia może być nawet trudniejszy, a osadzeni mogą nie mieć możliwości otrzymywania jedzenia od odwiedzających, ze względu na zawieszenie wizyt.  </w:t>
      </w:r>
      <w:r w:rsidR="004D6503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Wystawienie osób pozbawionych wolności na działanie drażniących środków chemicznych niesie ze sobą ryzyko jeszcze większego narażenia </w:t>
      </w:r>
      <w:r w:rsidR="009B23CF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populacji </w:t>
      </w:r>
      <w:r w:rsidR="004D6503" w:rsidRPr="00686882">
        <w:rPr>
          <w:rFonts w:ascii="Times New Roman" w:hAnsi="Times New Roman" w:cs="Times New Roman"/>
          <w:color w:val="000000"/>
          <w:sz w:val="26"/>
          <w:szCs w:val="26"/>
        </w:rPr>
        <w:t>już i tak wrażliwej na zarażenie wirusem.</w:t>
      </w:r>
      <w:r w:rsidR="00D503F6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8C2C08A" w14:textId="731AAE38" w:rsidR="00A21C4A" w:rsidRPr="00686882" w:rsidRDefault="00F014DA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Należy zaznaczyć, że zwiększone ryzyko rozprzestrzeniania się COVID-19 w miejscach pozbawienia wolności nie dotyczy wyłącznie więźniów. </w:t>
      </w:r>
      <w:r w:rsidR="00A21C4A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793C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Każdy z członków personelu więziennego będzie w grupie podwyższonego ryzyka w czasie, kiedy istnieje duże prawdopodobieństwo, że liczba pracowników została ograniczona ze względu na wirusa. </w:t>
      </w:r>
      <w:r w:rsidR="006F57BE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To stwarza kolejne zagrożenie związane z rozprzestrzenianiem wirusa </w:t>
      </w:r>
      <w:r w:rsidR="00005CF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6F57BE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w społeczności lokalnej, gdy personel więzienny wraca do domu i do aktywności niezwiązanych z pracą. </w:t>
      </w:r>
    </w:p>
    <w:p w14:paraId="776F4002" w14:textId="12E66112" w:rsidR="00A21C4A" w:rsidRPr="00686882" w:rsidRDefault="00DF5257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6882">
        <w:rPr>
          <w:rFonts w:ascii="Times New Roman" w:hAnsi="Times New Roman" w:cs="Times New Roman"/>
          <w:color w:val="000000"/>
          <w:sz w:val="26"/>
          <w:szCs w:val="26"/>
        </w:rPr>
        <w:t>Powyższe czynniki ryzyka pogłębiają inne, normalnie związane z wykorzystaniem drażniących środków chemicznych w zamkniętych przestrzeniach</w:t>
      </w:r>
      <w:r w:rsidR="002307C4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307C4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 2020 roku, Biuro Wysokiego Komisarza ONZ ds. Praw Człowieka wydało Wytyczne ONZ odnośnie </w:t>
      </w:r>
      <w:r w:rsidR="002307C4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mniej śmiercionośnych broni, które stanowią, że </w:t>
      </w:r>
      <w:r w:rsidR="00A21C4A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“</w:t>
      </w:r>
      <w:r w:rsidR="007C24F9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drażniących środków chemicznych nie należy stosować w zamkniętych przestrzeniach pozbawionych odpowiedniej wentylacji lub tam, gdzie nie ma odpowiednich wyjść. Związane jest to z ryzykiem śmierci lub poważnych urazów spowodowanych </w:t>
      </w:r>
      <w:r w:rsidR="00790EEB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asfiksją</w:t>
      </w:r>
      <w:r w:rsidR="007C24F9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”</w:t>
      </w:r>
      <w:r w:rsidR="007C24F9" w:rsidRPr="00DE3815">
        <w:rPr>
          <w:rStyle w:val="Odwoanieprzypisukocowego"/>
          <w:rFonts w:ascii="Times New Roman" w:hAnsi="Times New Roman" w:cs="Times New Roman"/>
          <w:b/>
          <w:bCs/>
          <w:color w:val="000000"/>
          <w:sz w:val="26"/>
          <w:szCs w:val="26"/>
        </w:rPr>
        <w:endnoteReference w:id="19"/>
      </w:r>
      <w:r w:rsidR="00A21C4A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C24F9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3A6CD5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Podkomitet ONZ ds. Prewencji Tortur (SPT) również wyraził „poważne wątpliwości co do użycia gazów drażniących w zamkniętych przestrzeniach, jako że może </w:t>
      </w:r>
      <w:r w:rsidR="00F332DE" w:rsidRPr="00DE38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to stanowić zagrożenie dla zdrowia i powodować niepotrzebne cierpienie.”</w:t>
      </w:r>
      <w:r w:rsidR="00F332DE" w:rsidRPr="00DE3815">
        <w:rPr>
          <w:rStyle w:val="Odwoanieprzypisukocowego"/>
          <w:rFonts w:ascii="Times New Roman" w:hAnsi="Times New Roman" w:cs="Times New Roman"/>
          <w:b/>
          <w:bCs/>
          <w:color w:val="000000"/>
          <w:sz w:val="26"/>
          <w:szCs w:val="26"/>
        </w:rPr>
        <w:endnoteReference w:id="20"/>
      </w:r>
      <w:r w:rsidR="00F332DE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C762E8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Te zagrożenia są dodatkowo uwydatnione przez pandemię COVID-19. </w:t>
      </w:r>
      <w:r w:rsidR="00A21C4A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62E8" w:rsidRPr="00686882">
        <w:rPr>
          <w:rFonts w:ascii="Times New Roman" w:hAnsi="Times New Roman" w:cs="Times New Roman"/>
          <w:color w:val="000000"/>
          <w:sz w:val="26"/>
          <w:szCs w:val="26"/>
        </w:rPr>
        <w:t>Niedostosowanie zasad i praktyki użycia siły do nowej rzeczywistości może prowadzić do naruszenia zobowiązań, jakich poszczególne państwa podjęły</w:t>
      </w:r>
      <w:r w:rsidR="005C112B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się</w:t>
      </w:r>
      <w:r w:rsidR="00C762E8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w zakresie praw człowieka</w:t>
      </w:r>
      <w:r w:rsidR="00A21C4A" w:rsidRPr="0068688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503F6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8F7B584" w14:textId="7EBA7C79" w:rsidR="00A21C4A" w:rsidRPr="00686882" w:rsidRDefault="00A21C4A" w:rsidP="00AB6ED7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46FB25EB" w14:textId="034D1CDB" w:rsidR="007544D1" w:rsidRPr="00686882" w:rsidRDefault="007544D1" w:rsidP="007544D1">
      <w:pPr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………………………</w:t>
      </w:r>
    </w:p>
    <w:p w14:paraId="7D74FDD2" w14:textId="2B26B3CD" w:rsidR="00A21C4A" w:rsidRPr="00686882" w:rsidRDefault="00F957B6" w:rsidP="00A21C4A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Zalecenie</w:t>
      </w:r>
      <w:r w:rsidR="00D503F6" w:rsidRPr="006868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4BDD64CD" w14:textId="4058A160" w:rsidR="00A21C4A" w:rsidRPr="00686882" w:rsidRDefault="007D1693" w:rsidP="00D503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Fundacja </w:t>
      </w:r>
      <w:r w:rsidR="00302852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Omega </w:t>
      </w:r>
      <w:proofErr w:type="spellStart"/>
      <w:r w:rsidR="00302852" w:rsidRPr="00686882">
        <w:rPr>
          <w:rFonts w:ascii="Times New Roman" w:hAnsi="Times New Roman" w:cs="Times New Roman"/>
          <w:color w:val="000000"/>
          <w:sz w:val="26"/>
          <w:szCs w:val="26"/>
        </w:rPr>
        <w:t>Research</w:t>
      </w:r>
      <w:proofErr w:type="spellEnd"/>
      <w:r w:rsidR="00302852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zaleca radykalne ograniczenie wykorzystania drażniących środków chemicznych w miejscach pozbawienia wolności, jedynie do sytuacji, </w:t>
      </w:r>
      <w:r w:rsidR="00005CF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302852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w których istnieje bezpośrednie zagrożenie życia. Taki stan powinien trwać do końca pandemii lub do momentu, w którym niezależne grono ekspertów medycznych, naukowych, prawnych lub innych podda rygorystycznej ocenie skutki ich stosowania w miejscach pozbawienia wolności podczas pandemii i będzie w stanie zaprezentować uzasadniony i bezpieczny sposób ich wykorzystania, który będzie zgodny z prawami 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człowieka </w:t>
      </w:r>
      <w:r w:rsidR="00302852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i </w:t>
      </w:r>
      <w:r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obowiązującymi w tym zakresie </w:t>
      </w:r>
      <w:r w:rsidR="00302852" w:rsidRPr="00686882">
        <w:rPr>
          <w:rFonts w:ascii="Times New Roman" w:hAnsi="Times New Roman" w:cs="Times New Roman"/>
          <w:color w:val="000000"/>
          <w:sz w:val="26"/>
          <w:szCs w:val="26"/>
        </w:rPr>
        <w:t>standardami</w:t>
      </w:r>
      <w:r w:rsidR="00137D80" w:rsidRPr="0068688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503F6" w:rsidRPr="006868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D3A939E" w14:textId="77777777" w:rsidR="008B7B8C" w:rsidRPr="00686882" w:rsidRDefault="008B7B8C" w:rsidP="008B7B8C">
      <w:pPr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686882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B7B8C" w:rsidRPr="00686882" w:rsidSect="00231CA3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9057" w14:textId="77777777" w:rsidR="00BE315C" w:rsidRDefault="00BE315C" w:rsidP="0048785A">
      <w:pPr>
        <w:spacing w:after="0" w:line="240" w:lineRule="auto"/>
      </w:pPr>
      <w:r>
        <w:separator/>
      </w:r>
    </w:p>
  </w:endnote>
  <w:endnote w:type="continuationSeparator" w:id="0">
    <w:p w14:paraId="2F87AE4A" w14:textId="77777777" w:rsidR="00BE315C" w:rsidRDefault="00BE315C" w:rsidP="0048785A">
      <w:pPr>
        <w:spacing w:after="0" w:line="240" w:lineRule="auto"/>
      </w:pPr>
      <w:r>
        <w:continuationSeparator/>
      </w:r>
    </w:p>
  </w:endnote>
  <w:endnote w:id="1">
    <w:p w14:paraId="544AE452" w14:textId="4683DEB7" w:rsidR="006C6A79" w:rsidRPr="00B71227" w:rsidRDefault="006C6A79" w:rsidP="00D503F6">
      <w:pPr>
        <w:pStyle w:val="Tekstprzypisukocowego"/>
        <w:tabs>
          <w:tab w:val="left" w:pos="1160"/>
        </w:tabs>
        <w:jc w:val="both"/>
      </w:pPr>
      <w:r>
        <w:rPr>
          <w:rStyle w:val="Odwoanieprzypisukocowego"/>
        </w:rPr>
        <w:endnoteRef/>
      </w:r>
      <w:r w:rsidRPr="00B71227">
        <w:t xml:space="preserve"> Wiele rodzajów drażniących substa</w:t>
      </w:r>
      <w:r>
        <w:t>n</w:t>
      </w:r>
      <w:r w:rsidRPr="00B71227">
        <w:t>cji chemicznych, zgodnie z instrumentami międzynarodowymi, w szczególności z Konwencją o zakazie broni chem</w:t>
      </w:r>
      <w:r>
        <w:t xml:space="preserve">icznej i powiązanych z nią praw i regulacji krajowych, klasyfikuje się jako „środki rozpraszania tłumu”. </w:t>
      </w:r>
    </w:p>
  </w:endnote>
  <w:endnote w:id="2">
    <w:p w14:paraId="19E35566" w14:textId="04ADA4A6" w:rsidR="006C6A79" w:rsidRPr="00B71227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B71227">
        <w:t xml:space="preserve"> Sprawa Oya Ataman p</w:t>
      </w:r>
      <w:r>
        <w:t>rzeciwko</w:t>
      </w:r>
      <w:r w:rsidRPr="00B71227">
        <w:t xml:space="preserve"> Tur</w:t>
      </w:r>
      <w:r>
        <w:t>cji</w:t>
      </w:r>
      <w:r w:rsidRPr="00B71227">
        <w:t xml:space="preserve">, </w:t>
      </w:r>
      <w:r>
        <w:t xml:space="preserve">orzeczenie z dnia </w:t>
      </w:r>
      <w:r w:rsidRPr="00B71227">
        <w:t xml:space="preserve"> 5 </w:t>
      </w:r>
      <w:r>
        <w:t xml:space="preserve">grudnia </w:t>
      </w:r>
      <w:r w:rsidRPr="00B71227">
        <w:t>2006, p</w:t>
      </w:r>
      <w:r>
        <w:t>kt</w:t>
      </w:r>
      <w:r w:rsidRPr="00B71227">
        <w:t xml:space="preserve">. 17-18; </w:t>
      </w:r>
      <w:r>
        <w:t>Sprawa</w:t>
      </w:r>
      <w:r w:rsidRPr="00B71227">
        <w:t xml:space="preserve"> Ali</w:t>
      </w:r>
    </w:p>
    <w:p w14:paraId="0E870EA9" w14:textId="3BA0CA11" w:rsidR="006C6A79" w:rsidRPr="00B71227" w:rsidRDefault="006C6A79" w:rsidP="00D503F6">
      <w:pPr>
        <w:pStyle w:val="Tekstprzypisukocowego"/>
        <w:jc w:val="both"/>
      </w:pPr>
      <w:r w:rsidRPr="00B71227">
        <w:t xml:space="preserve">Güneş przeciwko Turcji, </w:t>
      </w:r>
      <w:r>
        <w:t>orzeczenie z dnia</w:t>
      </w:r>
      <w:r w:rsidRPr="00B71227">
        <w:t xml:space="preserve"> 10 </w:t>
      </w:r>
      <w:r>
        <w:t>kwietnia</w:t>
      </w:r>
      <w:r w:rsidRPr="00B71227">
        <w:t xml:space="preserve"> 2012, p</w:t>
      </w:r>
      <w:r>
        <w:t>kt.</w:t>
      </w:r>
      <w:r w:rsidRPr="00B71227">
        <w:t xml:space="preserve"> 37</w:t>
      </w:r>
    </w:p>
  </w:endnote>
  <w:endnote w:id="3">
    <w:p w14:paraId="635760EF" w14:textId="0C9BF188" w:rsidR="006C6A79" w:rsidRPr="005251CB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5251CB">
        <w:t xml:space="preserve"> Wytyczne</w:t>
      </w:r>
      <w:r>
        <w:t xml:space="preserve"> ONZ odnośnie mniej śmiercionośnych broni,</w:t>
      </w:r>
      <w:r w:rsidRPr="005251CB">
        <w:t xml:space="preserve"> 2020, https://www.ohchr.org/Documents/HRBodies/</w:t>
      </w:r>
    </w:p>
    <w:p w14:paraId="6F1AA8E3" w14:textId="2B226CB0" w:rsidR="006C6A79" w:rsidRPr="00D503F6" w:rsidRDefault="006C6A79" w:rsidP="00D503F6">
      <w:pPr>
        <w:pStyle w:val="Tekstprzypisukocowego"/>
        <w:jc w:val="both"/>
        <w:rPr>
          <w:lang w:val="en-GB"/>
        </w:rPr>
      </w:pPr>
      <w:r w:rsidRPr="00D503F6">
        <w:rPr>
          <w:lang w:val="en-GB"/>
        </w:rPr>
        <w:t>CCPR/LLW_Guidance.pdf, pkt. 7.2.3</w:t>
      </w:r>
    </w:p>
  </w:endnote>
  <w:endnote w:id="4">
    <w:p w14:paraId="30C5798F" w14:textId="2C19E86C" w:rsidR="006C6A79" w:rsidRPr="00D81389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D81389">
        <w:t xml:space="preserve"> Biuro Instytucji</w:t>
      </w:r>
      <w:r>
        <w:t xml:space="preserve"> Demokratycznych i Praw Człowieka </w:t>
      </w:r>
      <w:r w:rsidRPr="00D81389">
        <w:t xml:space="preserve">ODIHR, </w:t>
      </w:r>
      <w:r>
        <w:t xml:space="preserve">Podręcznik praw człowieka w nadzorowaniu zgromadzeń (Human Rights Handbook </w:t>
      </w:r>
      <w:r w:rsidRPr="00D81389">
        <w:t>on Policing Assemblies</w:t>
      </w:r>
      <w:r>
        <w:t>)</w:t>
      </w:r>
      <w:r w:rsidRPr="00D81389">
        <w:t xml:space="preserve">, 2016, https://www.osce.org/odihr/226981, </w:t>
      </w:r>
      <w:r>
        <w:t>str.</w:t>
      </w:r>
      <w:r w:rsidRPr="00D81389">
        <w:t xml:space="preserve"> 79</w:t>
      </w:r>
    </w:p>
  </w:endnote>
  <w:endnote w:id="5">
    <w:p w14:paraId="2528CCC2" w14:textId="3B4E5BA6" w:rsidR="006C6A79" w:rsidRPr="00190386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190386">
        <w:t xml:space="preserve"> Biuro ONZ ds. Narkotyków i Przestępczości </w:t>
      </w:r>
      <w:r>
        <w:t>(</w:t>
      </w:r>
      <w:r w:rsidRPr="00190386">
        <w:t>UNODC</w:t>
      </w:r>
      <w:r>
        <w:t>)</w:t>
      </w:r>
      <w:r w:rsidRPr="00190386">
        <w:t xml:space="preserve"> </w:t>
      </w:r>
      <w:r>
        <w:t>i Wspólny Program Narodów Zjednoczonych Zwalczania HIV i AIDS</w:t>
      </w:r>
      <w:r w:rsidRPr="00190386">
        <w:t xml:space="preserve"> </w:t>
      </w:r>
      <w:r>
        <w:t>(O</w:t>
      </w:r>
      <w:r w:rsidRPr="00190386">
        <w:t>HCHR</w:t>
      </w:r>
      <w:r>
        <w:t>)</w:t>
      </w:r>
      <w:r w:rsidRPr="00190386">
        <w:t xml:space="preserve">, </w:t>
      </w:r>
      <w:r>
        <w:t>Przewodnik po użyciu siły i broni palnej w egzekwowaniu prawa (Resource Book</w:t>
      </w:r>
      <w:r w:rsidRPr="00190386">
        <w:t xml:space="preserve"> on the Use of Force and Firearms in Law Enforcement</w:t>
      </w:r>
      <w:r>
        <w:t>)</w:t>
      </w:r>
      <w:r w:rsidRPr="00190386">
        <w:t>, 2017, https://www.unodc.org/documents/justice-and-prison-reform/17-03483_ebook.pdf, str.</w:t>
      </w:r>
      <w:r>
        <w:t xml:space="preserve"> </w:t>
      </w:r>
      <w:r w:rsidRPr="00190386">
        <w:t>88</w:t>
      </w:r>
    </w:p>
  </w:endnote>
  <w:endnote w:id="6">
    <w:p w14:paraId="7312A685" w14:textId="7DA87A2D" w:rsidR="006C6A79" w:rsidRPr="00190386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190386">
        <w:t xml:space="preserve"> Wytyczne ONZ o</w:t>
      </w:r>
      <w:r>
        <w:t>dnośnie mniej śmiercionośnych broni</w:t>
      </w:r>
      <w:r w:rsidRPr="00190386">
        <w:t>, 2020, https://www.ohchr.org/Documents/HRBodies/</w:t>
      </w:r>
    </w:p>
    <w:p w14:paraId="02D3CAB7" w14:textId="45E9326D" w:rsidR="006C6A79" w:rsidRPr="00D503F6" w:rsidRDefault="006C6A79" w:rsidP="00D503F6">
      <w:pPr>
        <w:pStyle w:val="Tekstprzypisukocowego"/>
        <w:jc w:val="both"/>
        <w:rPr>
          <w:lang w:val="en-GB"/>
        </w:rPr>
      </w:pPr>
      <w:r w:rsidRPr="00D503F6">
        <w:rPr>
          <w:lang w:val="en-GB"/>
        </w:rPr>
        <w:t>CCPR/LLW_Guidance.pdf, pkt. 7.2.7.</w:t>
      </w:r>
    </w:p>
  </w:endnote>
  <w:endnote w:id="7">
    <w:p w14:paraId="4FF7FE38" w14:textId="7D645D1E" w:rsidR="006C6A79" w:rsidRPr="00B5086B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B5086B">
        <w:t xml:space="preserve"> Am</w:t>
      </w:r>
      <w:r>
        <w:t>erykańskie Towarzystwo Chorób Klatki Piersiowej (</w:t>
      </w:r>
      <w:r w:rsidRPr="00B5086B">
        <w:t>American Thoracic Society</w:t>
      </w:r>
      <w:r>
        <w:t>)</w:t>
      </w:r>
      <w:r w:rsidRPr="00B5086B">
        <w:t xml:space="preserve">, </w:t>
      </w:r>
      <w:r>
        <w:t xml:space="preserve">„Użycie </w:t>
      </w:r>
      <w:bookmarkStart w:id="0" w:name="_GoBack"/>
      <w:bookmarkEnd w:id="0"/>
      <w:r>
        <w:t>gazu łzawiącego podczas pandemii COVID-19 jest nieodpowiedzialne; potrzebne moratorium, twierdzi Amerykańskie Towarzystwo Chorób Klatki Piersiowej</w:t>
      </w:r>
      <w:r w:rsidRPr="00B5086B">
        <w:t xml:space="preserve">”, 11 </w:t>
      </w:r>
      <w:r>
        <w:t>czerwca</w:t>
      </w:r>
      <w:r w:rsidRPr="00B5086B">
        <w:t xml:space="preserve"> 2020, </w:t>
      </w:r>
      <w:r>
        <w:t xml:space="preserve">dostępne na </w:t>
      </w:r>
      <w:r w:rsidRPr="00B5086B">
        <w:t>https://www.thoracic.</w:t>
      </w:r>
    </w:p>
    <w:p w14:paraId="5C920673" w14:textId="0C82481E" w:rsidR="006C6A79" w:rsidRPr="00D503F6" w:rsidRDefault="006C6A79" w:rsidP="00D503F6">
      <w:pPr>
        <w:pStyle w:val="Tekstprzypisukocowego"/>
        <w:jc w:val="both"/>
        <w:rPr>
          <w:lang w:val="en-GB"/>
        </w:rPr>
      </w:pPr>
      <w:r w:rsidRPr="00D503F6">
        <w:rPr>
          <w:lang w:val="en-GB"/>
        </w:rPr>
        <w:t>org/about/newsroom/press-releases/journal/2020/tear-gas-use-during-covid-19-pandemic-irresponsible-moratorium-needed,-says-american-thoracic-society.php, dostęp uzyskano 22 czerwca 2020</w:t>
      </w:r>
    </w:p>
  </w:endnote>
  <w:endnote w:id="8">
    <w:p w14:paraId="35A72B53" w14:textId="1E348BD2" w:rsidR="006C6A79" w:rsidRPr="00B5086B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B5086B">
        <w:t xml:space="preserve"> Patrz: https://drive.google.com/file/d/1Jyfn4Wd2i6bRi12ePghMHtX3ys1b7K1A/view, </w:t>
      </w:r>
      <w:r>
        <w:t>dostęp uzyskano</w:t>
      </w:r>
    </w:p>
    <w:p w14:paraId="758E40BE" w14:textId="2A7B1AE9" w:rsidR="006C6A79" w:rsidRPr="00B5086B" w:rsidRDefault="006C6A79" w:rsidP="00D503F6">
      <w:pPr>
        <w:pStyle w:val="Tekstprzypisukocowego"/>
        <w:jc w:val="both"/>
      </w:pPr>
      <w:r w:rsidRPr="00B5086B">
        <w:t>15 czerwca 2020.</w:t>
      </w:r>
    </w:p>
  </w:endnote>
  <w:endnote w:id="9">
    <w:p w14:paraId="6C80F982" w14:textId="54F54765" w:rsidR="006C6A79" w:rsidRPr="00B5086B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B5086B">
        <w:t xml:space="preserve"> https://grist.org/justice/tear-gas-and-coronavirus-are-a-recipe-for-disaster-experts-warn/, </w:t>
      </w:r>
      <w:r>
        <w:t>dostęp uzyskano</w:t>
      </w:r>
      <w:r w:rsidRPr="00B5086B">
        <w:t xml:space="preserve"> 15 </w:t>
      </w:r>
      <w:r>
        <w:t>czerwca</w:t>
      </w:r>
      <w:r w:rsidRPr="00B5086B">
        <w:t xml:space="preserve"> 2020</w:t>
      </w:r>
    </w:p>
  </w:endnote>
  <w:endnote w:id="10">
    <w:p w14:paraId="48FA8B73" w14:textId="663585A4" w:rsidR="006C6A79" w:rsidRPr="00077693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D64405">
        <w:t xml:space="preserve"> Hout, J. </w:t>
      </w:r>
      <w:r>
        <w:t>i inni</w:t>
      </w:r>
      <w:r w:rsidRPr="00D64405">
        <w:t>, “</w:t>
      </w:r>
      <w:r>
        <w:t xml:space="preserve">Ostre zakażenia dróg oddechowych </w:t>
      </w:r>
      <w:r>
        <w:rPr>
          <w:rFonts w:cstheme="minorHAnsi"/>
        </w:rPr>
        <w:t xml:space="preserve">związane z </w:t>
      </w:r>
      <w:r w:rsidRPr="00867267">
        <w:rPr>
          <w:rFonts w:cstheme="minorHAnsi"/>
        </w:rPr>
        <w:t>o-Chlorobenzylidenomalononitryl</w:t>
      </w:r>
      <w:r>
        <w:t xml:space="preserve">em </w:t>
      </w:r>
      <w:r w:rsidRPr="00D64405">
        <w:t>(</w:t>
      </w:r>
      <w:r>
        <w:t>środkiem rozpraszania tłumu CS</w:t>
      </w:r>
      <w:r w:rsidRPr="00D64405">
        <w:t xml:space="preserve">) </w:t>
      </w:r>
      <w:r>
        <w:t>w podstawowym oddziale treningowym armii amerykańskiej”</w:t>
      </w:r>
    </w:p>
    <w:p w14:paraId="5F470A54" w14:textId="7D8D772C" w:rsidR="006C6A79" w:rsidRPr="00077693" w:rsidRDefault="006C6A79" w:rsidP="00D503F6">
      <w:pPr>
        <w:pStyle w:val="Tekstprzypisukocowego"/>
        <w:jc w:val="both"/>
      </w:pPr>
      <w:r w:rsidRPr="00077693">
        <w:t xml:space="preserve">, </w:t>
      </w:r>
      <w:r>
        <w:t xml:space="preserve">w </w:t>
      </w:r>
      <w:r w:rsidRPr="00077693">
        <w:t>Military Medicine, 179: 7 (</w:t>
      </w:r>
      <w:r>
        <w:t xml:space="preserve">lipiec </w:t>
      </w:r>
      <w:r w:rsidRPr="00077693">
        <w:t>2014) 793–798</w:t>
      </w:r>
    </w:p>
  </w:endnote>
  <w:endnote w:id="11">
    <w:p w14:paraId="5F1D12C6" w14:textId="11AADF02" w:rsidR="006C6A79" w:rsidRPr="00077693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077693">
        <w:t xml:space="preserve"> https://www.who.int/health-topics/coronavirus#tab=tab_1, </w:t>
      </w:r>
      <w:r>
        <w:t xml:space="preserve">dostęp uzyskano </w:t>
      </w:r>
      <w:r w:rsidRPr="00077693">
        <w:t xml:space="preserve">15 </w:t>
      </w:r>
      <w:r>
        <w:t xml:space="preserve">lipca </w:t>
      </w:r>
      <w:r w:rsidRPr="00077693">
        <w:t>2020</w:t>
      </w:r>
    </w:p>
  </w:endnote>
  <w:endnote w:id="12">
    <w:p w14:paraId="7622EA05" w14:textId="1B1D8C21" w:rsidR="006C6A79" w:rsidRPr="00077693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077693">
        <w:t xml:space="preserve"> https://omegaresearchfoundation.org/covid.php, dostęp uzyska</w:t>
      </w:r>
      <w:r>
        <w:t xml:space="preserve">no </w:t>
      </w:r>
      <w:r w:rsidRPr="00077693">
        <w:t xml:space="preserve">4 </w:t>
      </w:r>
      <w:r>
        <w:t>listopada</w:t>
      </w:r>
      <w:r w:rsidRPr="00077693">
        <w:t xml:space="preserve"> 2020</w:t>
      </w:r>
    </w:p>
  </w:endnote>
  <w:endnote w:id="13">
    <w:p w14:paraId="687DBC23" w14:textId="0AAF421A" w:rsidR="006C6A79" w:rsidRPr="00D86E58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D86E58">
        <w:t xml:space="preserve"> Zob. Przypis 11</w:t>
      </w:r>
    </w:p>
  </w:endnote>
  <w:endnote w:id="14">
    <w:p w14:paraId="69E4FDE9" w14:textId="3B913D47" w:rsidR="006C6A79" w:rsidRPr="00D86E58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D86E58">
        <w:t xml:space="preserve"> Amnesty International, USA: Świat patrzy.</w:t>
      </w:r>
      <w:r>
        <w:t xml:space="preserve"> Nagminne naruszanie przez amerykańską policję praw protestujących w ramach ruchu Black Lives Matter, </w:t>
      </w:r>
      <w:r w:rsidRPr="00D86E58">
        <w:t xml:space="preserve">2020, </w:t>
      </w:r>
      <w:r>
        <w:t>h</w:t>
      </w:r>
      <w:r w:rsidRPr="00D86E58">
        <w:t xml:space="preserve">ttps://www.amnesty.org/download/Documents/AMR5128072020ENGLISH.PDF, </w:t>
      </w:r>
      <w:r>
        <w:t>str</w:t>
      </w:r>
      <w:r w:rsidRPr="00D86E58">
        <w:t>. 29</w:t>
      </w:r>
    </w:p>
  </w:endnote>
  <w:endnote w:id="15">
    <w:p w14:paraId="6D9F02B2" w14:textId="172CDBB0" w:rsidR="006C6A79" w:rsidRPr="0049460B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49460B">
        <w:t xml:space="preserve"> Tamże.</w:t>
      </w:r>
    </w:p>
  </w:endnote>
  <w:endnote w:id="16">
    <w:p w14:paraId="24C1CD28" w14:textId="099CBAF5" w:rsidR="006C6A79" w:rsidRPr="0049460B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49460B">
        <w:t xml:space="preserve"> Nicole Chavez, “Portland jest osta</w:t>
      </w:r>
      <w:r>
        <w:t xml:space="preserve">tnim z miast, które zawiesiło użycie gazu łzawiącego wobec protestujących”, </w:t>
      </w:r>
      <w:r w:rsidRPr="0049460B">
        <w:t xml:space="preserve">CNN, 7 </w:t>
      </w:r>
      <w:r>
        <w:t>lipca</w:t>
      </w:r>
      <w:r w:rsidRPr="0049460B">
        <w:t xml:space="preserve">2020, https://edition.cnn.com/2020/06/06/us/portland-police-tear-gas-protests/index.html, </w:t>
      </w:r>
      <w:r>
        <w:t>dostęp uzyskano</w:t>
      </w:r>
      <w:r w:rsidRPr="0049460B">
        <w:t xml:space="preserve"> 4 </w:t>
      </w:r>
      <w:r>
        <w:t>listopada</w:t>
      </w:r>
      <w:r w:rsidRPr="0049460B">
        <w:t xml:space="preserve"> 2020</w:t>
      </w:r>
    </w:p>
  </w:endnote>
  <w:endnote w:id="17">
    <w:p w14:paraId="5596B3C3" w14:textId="0500A4E3" w:rsidR="006C6A79" w:rsidRPr="006E10E3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6E10E3">
        <w:t xml:space="preserve"> Rothenberg, C. i inni, “Gaz łzawiący: pono</w:t>
      </w:r>
      <w:r>
        <w:t xml:space="preserve">wna ocena epidemiologiczna i mechanistyczna”, w </w:t>
      </w:r>
      <w:r w:rsidRPr="006E10E3">
        <w:t xml:space="preserve"> Annals of</w:t>
      </w:r>
    </w:p>
    <w:p w14:paraId="569A8A61" w14:textId="117B1A22" w:rsidR="006C6A79" w:rsidRPr="00687660" w:rsidRDefault="006C6A79" w:rsidP="00D503F6">
      <w:pPr>
        <w:pStyle w:val="Tekstprzypisukocowego"/>
        <w:jc w:val="both"/>
        <w:rPr>
          <w:lang w:val="de-DE"/>
        </w:rPr>
      </w:pPr>
      <w:r w:rsidRPr="00687660">
        <w:rPr>
          <w:lang w:val="de-DE"/>
        </w:rPr>
        <w:t>the New York Academy of Sciences, 1378 (2016) 96–107, 99.</w:t>
      </w:r>
    </w:p>
  </w:endnote>
  <w:endnote w:id="18">
    <w:p w14:paraId="72A56E21" w14:textId="5BE815C1" w:rsidR="006C6A79" w:rsidRPr="008B4698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5F087E">
        <w:t xml:space="preserve"> Patrz: Międzynarodow</w:t>
      </w:r>
      <w:r>
        <w:t>y Komitet Czerwonego Krzyża</w:t>
      </w:r>
      <w:r w:rsidRPr="005F087E">
        <w:t xml:space="preserve">, “COVID-19: </w:t>
      </w:r>
      <w:r>
        <w:t>Ochrona populacji więziennych przed zakaźną chorobą koronawirusową”,</w:t>
      </w:r>
      <w:r w:rsidRPr="008B4698">
        <w:t xml:space="preserve"> 11 March 2020, </w:t>
      </w:r>
      <w:r>
        <w:t xml:space="preserve">dostępne na: </w:t>
      </w:r>
      <w:r w:rsidRPr="008B4698">
        <w:t>https://www.icrc.org/en/document/</w:t>
      </w:r>
    </w:p>
    <w:p w14:paraId="2A869EAC" w14:textId="6EDDEE50" w:rsidR="006C6A79" w:rsidRPr="00D503F6" w:rsidRDefault="006C6A79" w:rsidP="00D503F6">
      <w:pPr>
        <w:pStyle w:val="Tekstprzypisukocowego"/>
        <w:jc w:val="both"/>
        <w:rPr>
          <w:lang w:val="en-GB"/>
        </w:rPr>
      </w:pPr>
      <w:r w:rsidRPr="00D503F6">
        <w:rPr>
          <w:lang w:val="en-GB"/>
        </w:rPr>
        <w:t>protecting-prison-populations-infectious-disease, dostęp uzyskano 27 lipca 2020</w:t>
      </w:r>
    </w:p>
  </w:endnote>
  <w:endnote w:id="19">
    <w:p w14:paraId="28311224" w14:textId="780B933B" w:rsidR="006C6A79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F23A99">
        <w:t xml:space="preserve"> Wytyczne ONZ odnośnie mniej śmiercionośnych broni, pkt. 7.2.7.</w:t>
      </w:r>
    </w:p>
  </w:endnote>
  <w:endnote w:id="20">
    <w:p w14:paraId="602427C0" w14:textId="38686B74" w:rsidR="006C6A79" w:rsidRDefault="006C6A79" w:rsidP="00D503F6">
      <w:pPr>
        <w:pStyle w:val="Tekstprzypisukocowego"/>
        <w:jc w:val="both"/>
      </w:pPr>
      <w:r>
        <w:rPr>
          <w:rStyle w:val="Odwoanieprzypisukocowego"/>
        </w:rPr>
        <w:endnoteRef/>
      </w:r>
      <w:r w:rsidRPr="00F23A99">
        <w:t xml:space="preserve"> </w:t>
      </w:r>
      <w:r w:rsidRPr="00017100">
        <w:t>Podkomitet</w:t>
      </w:r>
      <w:r>
        <w:t xml:space="preserve"> ONZ </w:t>
      </w:r>
      <w:r w:rsidRPr="00017100">
        <w:t>ds. Prewencji tortur i innego okr</w:t>
      </w:r>
      <w:r>
        <w:t>u</w:t>
      </w:r>
      <w:r w:rsidRPr="00017100">
        <w:t>tnego, nieludzkiego lub poniżającego traktowania lub karania</w:t>
      </w:r>
      <w:r w:rsidRPr="00F23A99">
        <w:t>, R</w:t>
      </w:r>
      <w:r>
        <w:t xml:space="preserve">aport z wizyty </w:t>
      </w:r>
      <w:r w:rsidRPr="00017100">
        <w:t>Podkomitetu ds. Prewencji tortur i innego okr</w:t>
      </w:r>
      <w:r>
        <w:t>u</w:t>
      </w:r>
      <w:r w:rsidRPr="00017100">
        <w:t>tnego, nieludzkiego lub poniżającego traktowania lub karania</w:t>
      </w:r>
      <w:r w:rsidRPr="00F23A99">
        <w:t xml:space="preserve"> </w:t>
      </w:r>
      <w:r>
        <w:t>w Brazylii</w:t>
      </w:r>
      <w:r w:rsidRPr="00F23A99">
        <w:t xml:space="preserve">, 5 </w:t>
      </w:r>
      <w:r>
        <w:t xml:space="preserve">lipca </w:t>
      </w:r>
      <w:r w:rsidRPr="00F23A99">
        <w:t xml:space="preserve">2012, UN doc. </w:t>
      </w:r>
      <w:r>
        <w:t>CAT/OP/</w:t>
      </w:r>
    </w:p>
    <w:p w14:paraId="772AB2E6" w14:textId="40A463C5" w:rsidR="006C6A79" w:rsidRDefault="006C6A79" w:rsidP="00D503F6">
      <w:pPr>
        <w:pStyle w:val="Tekstprzypisukocowego"/>
        <w:jc w:val="both"/>
      </w:pPr>
      <w:r>
        <w:t>BRA/1, pkt. 128</w:t>
      </w:r>
    </w:p>
    <w:p w14:paraId="0FB79F69" w14:textId="77777777" w:rsidR="00EF7DD5" w:rsidRPr="007544D1" w:rsidRDefault="00EF7DD5" w:rsidP="00EF7DD5">
      <w:pPr>
        <w:rPr>
          <w:rFonts w:cstheme="minorHAnsi"/>
          <w:b/>
          <w:bCs/>
          <w:color w:val="FFFFFF" w:themeColor="background1"/>
          <w:sz w:val="2"/>
          <w:szCs w:val="2"/>
        </w:rPr>
      </w:pPr>
      <w:r w:rsidRPr="007544D1">
        <w:rPr>
          <w:rFonts w:cstheme="minorHAnsi"/>
          <w:b/>
          <w:bCs/>
          <w:color w:val="FFFFFF" w:themeColor="background1"/>
          <w:sz w:val="2"/>
          <w:szCs w:val="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1FA810" w14:textId="363993E4" w:rsidR="006C6A79" w:rsidRDefault="006C6A79" w:rsidP="00D503F6">
      <w:pPr>
        <w:pStyle w:val="Tekstprzypisukocowego"/>
        <w:jc w:val="both"/>
      </w:pPr>
    </w:p>
    <w:p w14:paraId="59EB539D" w14:textId="77777777" w:rsidR="006C6A79" w:rsidRDefault="006C6A79" w:rsidP="00D503F6">
      <w:pPr>
        <w:pStyle w:val="Tekstprzypisukocowego"/>
        <w:jc w:val="both"/>
      </w:pPr>
    </w:p>
    <w:p w14:paraId="1B11AA1B" w14:textId="77777777" w:rsidR="00EF7DD5" w:rsidRPr="007544D1" w:rsidRDefault="00EF7DD5" w:rsidP="00EF7DD5">
      <w:pPr>
        <w:rPr>
          <w:rFonts w:cstheme="minorHAnsi"/>
          <w:b/>
          <w:bCs/>
          <w:color w:val="FFFFFF" w:themeColor="background1"/>
          <w:sz w:val="2"/>
          <w:szCs w:val="2"/>
        </w:rPr>
      </w:pPr>
      <w:r w:rsidRPr="007544D1">
        <w:rPr>
          <w:rFonts w:cstheme="minorHAnsi"/>
          <w:b/>
          <w:bCs/>
          <w:color w:val="FFFFFF" w:themeColor="background1"/>
          <w:sz w:val="2"/>
          <w:szCs w:val="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A3797" w14:textId="5A485662" w:rsidR="006C6A79" w:rsidRDefault="006C6A79" w:rsidP="00D503F6">
      <w:pPr>
        <w:pStyle w:val="Tekstprzypisukocowego"/>
        <w:jc w:val="both"/>
      </w:pPr>
      <w:r>
        <w:t xml:space="preserve">Zarejestrowana organizacja charytatywna </w:t>
      </w:r>
      <w:r w:rsidR="00D503F6">
        <w:t xml:space="preserve">pod </w:t>
      </w:r>
      <w:r>
        <w:t>nr 1105918.</w:t>
      </w:r>
      <w:r w:rsidR="00D503F6">
        <w:t xml:space="preserve"> </w:t>
      </w:r>
    </w:p>
    <w:p w14:paraId="1E338236" w14:textId="3CC88398" w:rsidR="006C6A79" w:rsidRDefault="006C6A79" w:rsidP="00D503F6">
      <w:pPr>
        <w:pStyle w:val="Tekstprzypisukocowego"/>
        <w:jc w:val="both"/>
      </w:pPr>
      <w:r>
        <w:t xml:space="preserve">Zarejestrowana spółka </w:t>
      </w:r>
      <w:r w:rsidR="00D503F6">
        <w:t xml:space="preserve">pod </w:t>
      </w:r>
      <w:r>
        <w:t>nr 05224240.</w:t>
      </w:r>
    </w:p>
    <w:p w14:paraId="391709BD" w14:textId="77777777" w:rsidR="006C6A79" w:rsidRPr="00926CF9" w:rsidRDefault="006C6A79" w:rsidP="00D503F6">
      <w:pPr>
        <w:pStyle w:val="Tekstprzypisukocowego"/>
        <w:jc w:val="both"/>
      </w:pPr>
      <w:r w:rsidRPr="00926CF9">
        <w:t>© 2020 - Omega Research Foundation. Wszystkie prawa zastrzeżone.</w:t>
      </w:r>
    </w:p>
    <w:p w14:paraId="69113A66" w14:textId="36F3F851" w:rsidR="006C6A79" w:rsidRDefault="00BE315C" w:rsidP="00D503F6">
      <w:pPr>
        <w:pStyle w:val="Tekstprzypisukocowego"/>
        <w:jc w:val="both"/>
      </w:pPr>
      <w:hyperlink r:id="rId1" w:history="1">
        <w:r w:rsidR="00D503F6" w:rsidRPr="0088398C">
          <w:rPr>
            <w:rStyle w:val="Hipercze"/>
          </w:rPr>
          <w:t>www.omegaresearchfoundation.org</w:t>
        </w:r>
      </w:hyperlink>
      <w:r w:rsidR="00D503F6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Light">
    <w:altName w:val="Segoe UI"/>
    <w:panose1 w:val="00000000000000000000"/>
    <w:charset w:val="00"/>
    <w:family w:val="roman"/>
    <w:notTrueType/>
    <w:pitch w:val="default"/>
  </w:font>
  <w:font w:name="Lato-Regular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37844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CBB231" w14:textId="63370523" w:rsidR="006C6A79" w:rsidRDefault="006C6A79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Omega Research Foundation</w:t>
        </w:r>
      </w:p>
    </w:sdtContent>
  </w:sdt>
  <w:p w14:paraId="26A4753C" w14:textId="77777777" w:rsidR="006C6A79" w:rsidRDefault="006C6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C0A3D" w14:textId="77777777" w:rsidR="00BE315C" w:rsidRDefault="00BE315C" w:rsidP="0048785A">
      <w:pPr>
        <w:spacing w:after="0" w:line="240" w:lineRule="auto"/>
      </w:pPr>
      <w:r>
        <w:separator/>
      </w:r>
    </w:p>
  </w:footnote>
  <w:footnote w:type="continuationSeparator" w:id="0">
    <w:p w14:paraId="10F265D5" w14:textId="77777777" w:rsidR="00BE315C" w:rsidRDefault="00BE315C" w:rsidP="00487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03"/>
    <w:rsid w:val="00005CF7"/>
    <w:rsid w:val="0001536F"/>
    <w:rsid w:val="00017CE8"/>
    <w:rsid w:val="00036DDE"/>
    <w:rsid w:val="00044549"/>
    <w:rsid w:val="00077693"/>
    <w:rsid w:val="00083CB5"/>
    <w:rsid w:val="000A523D"/>
    <w:rsid w:val="000D6A06"/>
    <w:rsid w:val="000F763E"/>
    <w:rsid w:val="00104F82"/>
    <w:rsid w:val="00114BF5"/>
    <w:rsid w:val="00131DFD"/>
    <w:rsid w:val="001320E3"/>
    <w:rsid w:val="00137D80"/>
    <w:rsid w:val="0017791A"/>
    <w:rsid w:val="00183341"/>
    <w:rsid w:val="00190386"/>
    <w:rsid w:val="00197E3D"/>
    <w:rsid w:val="001A71FF"/>
    <w:rsid w:val="001D5E02"/>
    <w:rsid w:val="001F014C"/>
    <w:rsid w:val="002130B7"/>
    <w:rsid w:val="00217F2E"/>
    <w:rsid w:val="00222C03"/>
    <w:rsid w:val="00222CF1"/>
    <w:rsid w:val="002307C4"/>
    <w:rsid w:val="00231CA3"/>
    <w:rsid w:val="00260143"/>
    <w:rsid w:val="00263FA1"/>
    <w:rsid w:val="00283E02"/>
    <w:rsid w:val="002C1CF1"/>
    <w:rsid w:val="002D0602"/>
    <w:rsid w:val="002E2D45"/>
    <w:rsid w:val="00302852"/>
    <w:rsid w:val="00323F03"/>
    <w:rsid w:val="003350C7"/>
    <w:rsid w:val="0033633F"/>
    <w:rsid w:val="003609DF"/>
    <w:rsid w:val="003A55AD"/>
    <w:rsid w:val="003A6CD5"/>
    <w:rsid w:val="003A7B16"/>
    <w:rsid w:val="003C1126"/>
    <w:rsid w:val="003C166B"/>
    <w:rsid w:val="003C5541"/>
    <w:rsid w:val="003D471C"/>
    <w:rsid w:val="003E3E47"/>
    <w:rsid w:val="004178F2"/>
    <w:rsid w:val="00457519"/>
    <w:rsid w:val="0046715B"/>
    <w:rsid w:val="004708FF"/>
    <w:rsid w:val="00482167"/>
    <w:rsid w:val="0048785A"/>
    <w:rsid w:val="0049460B"/>
    <w:rsid w:val="004B4367"/>
    <w:rsid w:val="004C4294"/>
    <w:rsid w:val="004D63F0"/>
    <w:rsid w:val="004D6503"/>
    <w:rsid w:val="004F6C35"/>
    <w:rsid w:val="005251CB"/>
    <w:rsid w:val="00525285"/>
    <w:rsid w:val="00536E1D"/>
    <w:rsid w:val="0053793C"/>
    <w:rsid w:val="00553A27"/>
    <w:rsid w:val="00567F05"/>
    <w:rsid w:val="00573FF4"/>
    <w:rsid w:val="00574C64"/>
    <w:rsid w:val="00592733"/>
    <w:rsid w:val="005B5306"/>
    <w:rsid w:val="005C112B"/>
    <w:rsid w:val="005F087E"/>
    <w:rsid w:val="0063421B"/>
    <w:rsid w:val="00656518"/>
    <w:rsid w:val="00686882"/>
    <w:rsid w:val="00687660"/>
    <w:rsid w:val="006A47D1"/>
    <w:rsid w:val="006A5250"/>
    <w:rsid w:val="006B7625"/>
    <w:rsid w:val="006B7D23"/>
    <w:rsid w:val="006C26E6"/>
    <w:rsid w:val="006C49E7"/>
    <w:rsid w:val="006C6A79"/>
    <w:rsid w:val="006D1717"/>
    <w:rsid w:val="006E10E3"/>
    <w:rsid w:val="006E3CBA"/>
    <w:rsid w:val="006F57BE"/>
    <w:rsid w:val="006F67B2"/>
    <w:rsid w:val="00710B91"/>
    <w:rsid w:val="00715F86"/>
    <w:rsid w:val="00725E80"/>
    <w:rsid w:val="00740B3F"/>
    <w:rsid w:val="00742272"/>
    <w:rsid w:val="00745490"/>
    <w:rsid w:val="007463E8"/>
    <w:rsid w:val="00747D77"/>
    <w:rsid w:val="007544D1"/>
    <w:rsid w:val="007546C0"/>
    <w:rsid w:val="00766A32"/>
    <w:rsid w:val="00772545"/>
    <w:rsid w:val="00790EEB"/>
    <w:rsid w:val="007961D8"/>
    <w:rsid w:val="007A398C"/>
    <w:rsid w:val="007B5B93"/>
    <w:rsid w:val="007C24C8"/>
    <w:rsid w:val="007C24F9"/>
    <w:rsid w:val="007C5EFF"/>
    <w:rsid w:val="007D1693"/>
    <w:rsid w:val="007D7B73"/>
    <w:rsid w:val="00816E05"/>
    <w:rsid w:val="00831E1F"/>
    <w:rsid w:val="00837CEF"/>
    <w:rsid w:val="008417F6"/>
    <w:rsid w:val="00847A37"/>
    <w:rsid w:val="008524E0"/>
    <w:rsid w:val="00855748"/>
    <w:rsid w:val="008559DB"/>
    <w:rsid w:val="008577B3"/>
    <w:rsid w:val="00867267"/>
    <w:rsid w:val="008702FE"/>
    <w:rsid w:val="0087139E"/>
    <w:rsid w:val="0087204A"/>
    <w:rsid w:val="00874685"/>
    <w:rsid w:val="008B021E"/>
    <w:rsid w:val="008B4698"/>
    <w:rsid w:val="008B7619"/>
    <w:rsid w:val="008B7B8C"/>
    <w:rsid w:val="008F38E6"/>
    <w:rsid w:val="009158F2"/>
    <w:rsid w:val="00917ACC"/>
    <w:rsid w:val="00921A41"/>
    <w:rsid w:val="00926CF9"/>
    <w:rsid w:val="00927514"/>
    <w:rsid w:val="00932112"/>
    <w:rsid w:val="009446E9"/>
    <w:rsid w:val="00945444"/>
    <w:rsid w:val="009600C7"/>
    <w:rsid w:val="009618F0"/>
    <w:rsid w:val="0098292B"/>
    <w:rsid w:val="00982AA2"/>
    <w:rsid w:val="00986DA0"/>
    <w:rsid w:val="0099000B"/>
    <w:rsid w:val="00996291"/>
    <w:rsid w:val="00996C6B"/>
    <w:rsid w:val="009B03BD"/>
    <w:rsid w:val="009B23CF"/>
    <w:rsid w:val="009B48BE"/>
    <w:rsid w:val="009C5609"/>
    <w:rsid w:val="009D22F9"/>
    <w:rsid w:val="009E0D2D"/>
    <w:rsid w:val="009E3014"/>
    <w:rsid w:val="00A032C7"/>
    <w:rsid w:val="00A21C4A"/>
    <w:rsid w:val="00A33CF5"/>
    <w:rsid w:val="00A5726D"/>
    <w:rsid w:val="00A636AE"/>
    <w:rsid w:val="00A741DB"/>
    <w:rsid w:val="00AA5826"/>
    <w:rsid w:val="00AB6ED7"/>
    <w:rsid w:val="00AC08F8"/>
    <w:rsid w:val="00AD4F63"/>
    <w:rsid w:val="00AE5347"/>
    <w:rsid w:val="00AE5D37"/>
    <w:rsid w:val="00AE7B0C"/>
    <w:rsid w:val="00B03EFB"/>
    <w:rsid w:val="00B045A8"/>
    <w:rsid w:val="00B276CD"/>
    <w:rsid w:val="00B3496E"/>
    <w:rsid w:val="00B45DE5"/>
    <w:rsid w:val="00B4781D"/>
    <w:rsid w:val="00B5086B"/>
    <w:rsid w:val="00B5536F"/>
    <w:rsid w:val="00B71227"/>
    <w:rsid w:val="00B82673"/>
    <w:rsid w:val="00BA2035"/>
    <w:rsid w:val="00BB12C5"/>
    <w:rsid w:val="00BB6816"/>
    <w:rsid w:val="00BC5851"/>
    <w:rsid w:val="00BD3C1C"/>
    <w:rsid w:val="00BE315C"/>
    <w:rsid w:val="00BF1EEF"/>
    <w:rsid w:val="00C03723"/>
    <w:rsid w:val="00C15214"/>
    <w:rsid w:val="00C201EE"/>
    <w:rsid w:val="00C33B6C"/>
    <w:rsid w:val="00C47654"/>
    <w:rsid w:val="00C762E8"/>
    <w:rsid w:val="00CC29CA"/>
    <w:rsid w:val="00CC507E"/>
    <w:rsid w:val="00CE7BC0"/>
    <w:rsid w:val="00D267C5"/>
    <w:rsid w:val="00D503F6"/>
    <w:rsid w:val="00D50A8D"/>
    <w:rsid w:val="00D53757"/>
    <w:rsid w:val="00D64405"/>
    <w:rsid w:val="00D81389"/>
    <w:rsid w:val="00D86E58"/>
    <w:rsid w:val="00D96366"/>
    <w:rsid w:val="00DA71DD"/>
    <w:rsid w:val="00DD0C08"/>
    <w:rsid w:val="00DD4D32"/>
    <w:rsid w:val="00DD5BA5"/>
    <w:rsid w:val="00DE3815"/>
    <w:rsid w:val="00DE495A"/>
    <w:rsid w:val="00DF5257"/>
    <w:rsid w:val="00DF681B"/>
    <w:rsid w:val="00E25916"/>
    <w:rsid w:val="00E4088C"/>
    <w:rsid w:val="00E424B9"/>
    <w:rsid w:val="00E820AC"/>
    <w:rsid w:val="00E925B4"/>
    <w:rsid w:val="00EC4138"/>
    <w:rsid w:val="00EC57DF"/>
    <w:rsid w:val="00EF7DD5"/>
    <w:rsid w:val="00F014DA"/>
    <w:rsid w:val="00F033D1"/>
    <w:rsid w:val="00F167E8"/>
    <w:rsid w:val="00F22BB3"/>
    <w:rsid w:val="00F23A99"/>
    <w:rsid w:val="00F2489A"/>
    <w:rsid w:val="00F305B3"/>
    <w:rsid w:val="00F32F59"/>
    <w:rsid w:val="00F332DE"/>
    <w:rsid w:val="00F368A5"/>
    <w:rsid w:val="00F62CDB"/>
    <w:rsid w:val="00F65D13"/>
    <w:rsid w:val="00F957B6"/>
    <w:rsid w:val="00FA4FAC"/>
    <w:rsid w:val="00FE4A4A"/>
    <w:rsid w:val="00FE5781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F73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78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878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878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785A"/>
    <w:rPr>
      <w:vertAlign w:val="superscript"/>
    </w:rPr>
  </w:style>
  <w:style w:type="character" w:customStyle="1" w:styleId="fontstyle01">
    <w:name w:val="fontstyle01"/>
    <w:basedOn w:val="Domylnaczcionkaakapitu"/>
    <w:rsid w:val="00E925B4"/>
    <w:rPr>
      <w:rFonts w:ascii="Lato-Light" w:hAnsi="Lato-Light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1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CA3"/>
  </w:style>
  <w:style w:type="paragraph" w:styleId="Stopka">
    <w:name w:val="footer"/>
    <w:basedOn w:val="Normalny"/>
    <w:link w:val="StopkaZnak"/>
    <w:uiPriority w:val="99"/>
    <w:unhideWhenUsed/>
    <w:rsid w:val="00231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CA3"/>
  </w:style>
  <w:style w:type="character" w:customStyle="1" w:styleId="fontstyle21">
    <w:name w:val="fontstyle21"/>
    <w:basedOn w:val="Domylnaczcionkaakapitu"/>
    <w:rsid w:val="006A47D1"/>
    <w:rPr>
      <w:rFonts w:ascii="Lato-Regular" w:hAnsi="Lato-Regular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503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3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egaresearchfoundation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83C1-28D8-423A-B7B2-89FFF500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2519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2020-11-09T12:27:00Z</dcterms:created>
  <dcterms:modified xsi:type="dcterms:W3CDTF">2020-11-10T11:47:00Z</dcterms:modified>
</cp:coreProperties>
</file>