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74C6" w14:textId="42294F15" w:rsidR="00B20A15" w:rsidRDefault="00B20A15" w:rsidP="00B20A15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Prawidłowe rozwiązanie zadania polegało na sporządzeniu skargi do sądu administracyjnego zawierającej wniosek o</w:t>
      </w:r>
      <w:r>
        <w:rPr>
          <w:rFonts w:ascii="Times New Roman" w:hAnsi="Times New Roman"/>
          <w:sz w:val="24"/>
          <w:szCs w:val="24"/>
        </w:rPr>
        <w:t xml:space="preserve"> stwierdzenie nieważności bądź</w:t>
      </w:r>
      <w:r>
        <w:rPr>
          <w:rFonts w:ascii="Times New Roman" w:hAnsi="Times New Roman"/>
          <w:sz w:val="24"/>
          <w:szCs w:val="24"/>
        </w:rPr>
        <w:t xml:space="preserve"> uchylenie </w:t>
      </w:r>
      <w:r>
        <w:rPr>
          <w:rFonts w:ascii="Times New Roman" w:hAnsi="Times New Roman"/>
          <w:sz w:val="24"/>
          <w:szCs w:val="24"/>
        </w:rPr>
        <w:t>postanowienia</w:t>
      </w:r>
      <w:r>
        <w:rPr>
          <w:rFonts w:ascii="Times New Roman" w:hAnsi="Times New Roman"/>
          <w:sz w:val="24"/>
          <w:szCs w:val="24"/>
        </w:rPr>
        <w:t xml:space="preserve"> organu odwoławczego</w:t>
      </w:r>
      <w:r w:rsidR="00C23AB1">
        <w:rPr>
          <w:rFonts w:ascii="Times New Roman" w:hAnsi="Times New Roman"/>
          <w:sz w:val="24"/>
          <w:szCs w:val="24"/>
        </w:rPr>
        <w:t>, a także organu I instancji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Wniosek o wznowienie postępowania załatwiony został z naruszeniem przepisów o właściwości, tj. z przesłanką nieważności wymienioną w art. 156 § 1 pkt 1 Kpa. </w:t>
      </w:r>
      <w:r w:rsidR="00C23AB1">
        <w:rPr>
          <w:rFonts w:ascii="Times New Roman" w:hAnsi="Times New Roman"/>
          <w:sz w:val="24"/>
          <w:szCs w:val="24"/>
        </w:rPr>
        <w:t>Postępowanie pierwotne było dwuinstancyjne i zakończyło się decyzją organu odwoławczego. Organem właściwym do rozpoznania wniosku o wznowienie postępowania było w I instancji SKO w Olsztynie w myśl art. 150 § 1 Kpa. Wydani</w:t>
      </w:r>
      <w:r w:rsidR="00F659BF">
        <w:rPr>
          <w:rFonts w:ascii="Times New Roman" w:hAnsi="Times New Roman"/>
          <w:sz w:val="24"/>
          <w:szCs w:val="24"/>
        </w:rPr>
        <w:t>e</w:t>
      </w:r>
      <w:r w:rsidR="00C23AB1">
        <w:rPr>
          <w:rFonts w:ascii="Times New Roman" w:hAnsi="Times New Roman"/>
          <w:sz w:val="24"/>
          <w:szCs w:val="24"/>
        </w:rPr>
        <w:t xml:space="preserve"> postanowienia przez organ I instancji nastąpiło zatem z naruszeniem właściwości instancyjnej, podobne zresztą jak postanowienie wydane przez SKO, choć tu można była stawiać też zarzut rażącego naruszenia prawa, tj. przesłanki nieważności </w:t>
      </w:r>
      <w:r w:rsidR="00A62FA8">
        <w:rPr>
          <w:rFonts w:ascii="Times New Roman" w:hAnsi="Times New Roman"/>
          <w:sz w:val="24"/>
          <w:szCs w:val="24"/>
        </w:rPr>
        <w:t xml:space="preserve">określonej w art. 156 </w:t>
      </w:r>
      <w:r w:rsidR="00A62FA8">
        <w:rPr>
          <w:rFonts w:ascii="Times New Roman" w:hAnsi="Times New Roman"/>
          <w:sz w:val="24"/>
          <w:szCs w:val="24"/>
        </w:rPr>
        <w:t xml:space="preserve">§ 1 pkt </w:t>
      </w:r>
      <w:r w:rsidR="00A62FA8">
        <w:rPr>
          <w:rFonts w:ascii="Times New Roman" w:hAnsi="Times New Roman"/>
          <w:sz w:val="24"/>
          <w:szCs w:val="24"/>
        </w:rPr>
        <w:t>2</w:t>
      </w:r>
      <w:r w:rsidR="00A62FA8">
        <w:rPr>
          <w:rFonts w:ascii="Times New Roman" w:hAnsi="Times New Roman"/>
          <w:sz w:val="24"/>
          <w:szCs w:val="24"/>
        </w:rPr>
        <w:t xml:space="preserve"> Kpa</w:t>
      </w:r>
      <w:r w:rsidR="0017571D">
        <w:rPr>
          <w:rFonts w:ascii="Times New Roman" w:hAnsi="Times New Roman"/>
          <w:sz w:val="24"/>
          <w:szCs w:val="24"/>
        </w:rPr>
        <w:t xml:space="preserve">, poprzez wadliwie wykonaną kontrolę instancyjną i w konsekwencji niedostrzeżenia, że organ I instancji był niewłaściwy. </w:t>
      </w:r>
    </w:p>
    <w:p w14:paraId="7CB534AE" w14:textId="0A538BC4" w:rsidR="00A62FA8" w:rsidRDefault="00A62FA8" w:rsidP="00B20A15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Sposób załatwienia wniosku o wznowienie postępowania był wadliwy także dlatego, że w formie postanowienia o odmowie wznowienia przesądzono i istnieniu przesłanki wznowienia. Wniosek oparty przecież został na art. 145 </w:t>
      </w:r>
      <w:r>
        <w:rPr>
          <w:rFonts w:ascii="Times New Roman" w:hAnsi="Times New Roman"/>
          <w:sz w:val="24"/>
          <w:szCs w:val="24"/>
        </w:rPr>
        <w:t xml:space="preserve">§ 1 pkt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Kpa</w:t>
      </w:r>
      <w:r>
        <w:rPr>
          <w:rFonts w:ascii="Times New Roman" w:hAnsi="Times New Roman"/>
          <w:sz w:val="24"/>
          <w:szCs w:val="24"/>
        </w:rPr>
        <w:t>, tj. brak udziału strony w postępowaniu bez jej winy. Organy administracji powinny zatem doprowadzić do wznowienia postępowania i dopiero w toku wznowionego postępowania ustalić czy wnioskodawcy przysługuje przymiot strony, a jeśli tak, to czy rzeczywiście uniemożliwiono, bądź ograniczono jej udział w postępowaniu pierwotnym.</w:t>
      </w:r>
      <w:r w:rsidR="00F659BF">
        <w:rPr>
          <w:rFonts w:ascii="Times New Roman" w:hAnsi="Times New Roman"/>
          <w:sz w:val="24"/>
          <w:szCs w:val="24"/>
        </w:rPr>
        <w:t xml:space="preserve"> Sformułowanie zarzutu w tej mierze nie wymagało żadnych czynności dowodowych, dlatego podnoszenie w wielu pracach zarzutu naruszenia art. 7, art. 77 czy art. 80 Kpa nie było właściwe.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276E94C" w14:textId="639C3394" w:rsidR="00B20A15" w:rsidRDefault="0017571D" w:rsidP="00B20A15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Postępowanie pierwotne w przedmiocie ustalenia warunków zabudowy również obarczone było wadami, z których najistotniejsz</w:t>
      </w:r>
      <w:r w:rsidR="004B517C">
        <w:rPr>
          <w:rFonts w:ascii="Times New Roman" w:hAnsi="Times New Roman"/>
          <w:sz w:val="24"/>
          <w:szCs w:val="24"/>
        </w:rPr>
        <w:t>a dotyczyła bezprzedmiotowości postępowania. W</w:t>
      </w:r>
      <w:r>
        <w:rPr>
          <w:rFonts w:ascii="Times New Roman" w:hAnsi="Times New Roman"/>
          <w:sz w:val="24"/>
          <w:szCs w:val="24"/>
        </w:rPr>
        <w:t xml:space="preserve"> ogóle nie powinno być</w:t>
      </w:r>
      <w:r w:rsidR="004B517C">
        <w:rPr>
          <w:rFonts w:ascii="Times New Roman" w:hAnsi="Times New Roman"/>
          <w:sz w:val="24"/>
          <w:szCs w:val="24"/>
        </w:rPr>
        <w:t xml:space="preserve"> ono</w:t>
      </w:r>
      <w:r>
        <w:rPr>
          <w:rFonts w:ascii="Times New Roman" w:hAnsi="Times New Roman"/>
          <w:sz w:val="24"/>
          <w:szCs w:val="24"/>
        </w:rPr>
        <w:t xml:space="preserve"> prowadzone, gdyż z materiałów sprawy wynika, że na terenie przeznaczonym do zrealizowania inwestycji, obowiązuje plan zagospodarowania przestrzennego. To ten akt prawny, a nie decyzja o warunkach zabudowy, przesądza o przeznaczeniu terenu i możliwości jego zabudowy. Wprawdzie trudno oczekiwać, że sąd administracyjny odniósłby się procesowo do tej wady, gdyż przedmiotem kontroli sądowej jest w tej sprawie tylko kwestia wznowienia postępowania, to jednak </w:t>
      </w:r>
      <w:r w:rsidR="004B517C">
        <w:rPr>
          <w:rFonts w:ascii="Times New Roman" w:hAnsi="Times New Roman"/>
          <w:sz w:val="24"/>
          <w:szCs w:val="24"/>
        </w:rPr>
        <w:t>zwrócenie uwagi na tę kwestię dodatkowo zmotywowało by sąd do wydania wyroku pozytywnego do mocodawcy.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01C3C55" w14:textId="77777777" w:rsidR="00B20A15" w:rsidRDefault="00B20A15" w:rsidP="00B20A15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Poza trafnością zarzutów ocenie podlegał też sposób ich powiązania z okolicznościami sprawy w uzasadnieniu skargi.</w:t>
      </w:r>
    </w:p>
    <w:p w14:paraId="26434785" w14:textId="77777777" w:rsidR="00B20A15" w:rsidRDefault="00B20A15" w:rsidP="00B20A15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1B8D75" w14:textId="77777777" w:rsidR="00B20A15" w:rsidRPr="003B124D" w:rsidRDefault="00B20A15" w:rsidP="00B20A15">
      <w:pPr>
        <w:pStyle w:val="Bezodstpw"/>
        <w:ind w:firstLine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Bogdan Muzyczuk</w:t>
      </w:r>
    </w:p>
    <w:p w14:paraId="020EC109" w14:textId="77777777" w:rsidR="00B20A15" w:rsidRDefault="00B20A15" w:rsidP="00B20A15"/>
    <w:p w14:paraId="4DFB224C" w14:textId="77777777" w:rsidR="002E162D" w:rsidRDefault="002E162D"/>
    <w:sectPr w:rsidR="002E162D" w:rsidSect="00F3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15"/>
    <w:rsid w:val="0017571D"/>
    <w:rsid w:val="002E162D"/>
    <w:rsid w:val="004B517C"/>
    <w:rsid w:val="00A62FA8"/>
    <w:rsid w:val="00B20A15"/>
    <w:rsid w:val="00C23AB1"/>
    <w:rsid w:val="00F6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2FF4"/>
  <w15:chartTrackingRefBased/>
  <w15:docId w15:val="{51C31BAE-D81C-43C3-804D-AB1EF042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A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Muzyczuk</dc:creator>
  <cp:keywords/>
  <dc:description/>
  <cp:lastModifiedBy>Muzyczuk</cp:lastModifiedBy>
  <cp:revision>2</cp:revision>
  <dcterms:created xsi:type="dcterms:W3CDTF">2021-11-15T10:22:00Z</dcterms:created>
  <dcterms:modified xsi:type="dcterms:W3CDTF">2021-11-15T10:52:00Z</dcterms:modified>
</cp:coreProperties>
</file>