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930D" w14:textId="332C0015" w:rsidR="00DD1E9B" w:rsidRDefault="00DD1E9B" w:rsidP="00474B8F">
      <w:pPr>
        <w:spacing w:after="0" w:line="240" w:lineRule="auto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Wolters Kluwer Polska zaprasza na otwarte webinaria w czerwcu:</w:t>
      </w:r>
    </w:p>
    <w:p w14:paraId="0E6DB18F" w14:textId="2952E9F3" w:rsidR="00DD1E9B" w:rsidRDefault="00DD1E9B" w:rsidP="00474B8F">
      <w:pPr>
        <w:spacing w:after="0" w:line="240" w:lineRule="auto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- </w:t>
      </w:r>
      <w:hyperlink r:id="rId7" w:history="1">
        <w:r w:rsidRPr="00DD1E9B">
          <w:rPr>
            <w:rStyle w:val="Hipercze"/>
            <w:rFonts w:eastAsia="Times New Roman" w:cstheme="minorHAnsi"/>
            <w:spacing w:val="8"/>
            <w:sz w:val="24"/>
            <w:szCs w:val="24"/>
            <w:lang w:eastAsia="pl-PL"/>
          </w:rPr>
          <w:t>Zarządzanie wiedzą w kancelarii prawnej, 14.06.</w:t>
        </w:r>
      </w:hyperlink>
      <w:r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 </w:t>
      </w:r>
      <w:r w:rsidR="002B61BF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– zapisy </w:t>
      </w:r>
      <w:hyperlink r:id="rId8" w:history="1">
        <w:r w:rsidR="002B61BF" w:rsidRPr="007B2624">
          <w:rPr>
            <w:rStyle w:val="Hipercze"/>
            <w:spacing w:val="8"/>
            <w:sz w:val="24"/>
            <w:szCs w:val="24"/>
          </w:rPr>
          <w:t>https://bit.ly/3m7Knap</w:t>
        </w:r>
      </w:hyperlink>
    </w:p>
    <w:p w14:paraId="03021FCC" w14:textId="199CC10A" w:rsidR="00DD1E9B" w:rsidRDefault="00DD1E9B" w:rsidP="00474B8F">
      <w:pPr>
        <w:spacing w:after="0" w:line="240" w:lineRule="auto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- </w:t>
      </w:r>
      <w:hyperlink r:id="rId9" w:history="1">
        <w:r w:rsidRPr="00DD1E9B">
          <w:rPr>
            <w:rStyle w:val="Hipercze"/>
            <w:rFonts w:eastAsia="Times New Roman" w:cstheme="minorHAnsi"/>
            <w:spacing w:val="8"/>
            <w:sz w:val="24"/>
            <w:szCs w:val="24"/>
            <w:lang w:eastAsia="pl-PL"/>
          </w:rPr>
          <w:t>Praktyczne aspekty kredytu konsumenckiego, 21.06.</w:t>
        </w:r>
      </w:hyperlink>
      <w:r w:rsidR="002B61BF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 </w:t>
      </w:r>
      <w:r w:rsidR="0079164B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–</w:t>
      </w:r>
      <w:r w:rsidR="002B61BF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 zapisy</w:t>
      </w:r>
      <w:r w:rsidR="0079164B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 </w:t>
      </w:r>
      <w:hyperlink r:id="rId10" w:history="1">
        <w:r w:rsidR="0079164B">
          <w:rPr>
            <w:rStyle w:val="Hipercze"/>
            <w:spacing w:val="8"/>
            <w:sz w:val="24"/>
            <w:szCs w:val="24"/>
          </w:rPr>
          <w:t>https://bit.ly/391RNZU</w:t>
        </w:r>
      </w:hyperlink>
    </w:p>
    <w:p w14:paraId="54BEF1ED" w14:textId="75AA98E9" w:rsidR="003E000B" w:rsidRPr="003E000B" w:rsidRDefault="003E000B" w:rsidP="00474B8F">
      <w:pPr>
        <w:spacing w:after="0" w:line="240" w:lineRule="auto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3C965AD9" wp14:editId="23EDFC6B">
            <wp:extent cx="5760720" cy="1440180"/>
            <wp:effectExtent l="0" t="0" r="0" b="7620"/>
            <wp:docPr id="2" name="Obraz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0EBF0" w14:textId="2806B7E2" w:rsidR="00901547" w:rsidRPr="003E000B" w:rsidRDefault="003E000B" w:rsidP="00474B8F">
      <w:pPr>
        <w:spacing w:before="100" w:beforeAutospacing="1" w:after="100" w:afterAutospacing="1" w:line="240" w:lineRule="auto"/>
        <w:textAlignment w:val="top"/>
        <w:outlineLvl w:val="1"/>
        <w:rPr>
          <w:rFonts w:eastAsia="Times New Roman" w:cstheme="minorHAnsi"/>
          <w:b/>
          <w:bCs/>
          <w:color w:val="232323"/>
          <w:spacing w:val="15"/>
          <w:sz w:val="24"/>
          <w:szCs w:val="24"/>
          <w:lang w:eastAsia="pl-PL"/>
        </w:rPr>
      </w:pPr>
      <w:r w:rsidRPr="003E000B">
        <w:rPr>
          <w:rFonts w:eastAsia="Times New Roman" w:cstheme="minorHAnsi"/>
          <w:b/>
          <w:bCs/>
          <w:color w:val="232323"/>
          <w:spacing w:val="15"/>
          <w:sz w:val="24"/>
          <w:szCs w:val="24"/>
          <w:lang w:eastAsia="pl-PL"/>
        </w:rPr>
        <w:t>Program webinaru:</w:t>
      </w:r>
    </w:p>
    <w:p w14:paraId="17BC2249" w14:textId="77777777" w:rsidR="003E000B" w:rsidRPr="00474B8F" w:rsidRDefault="003E000B" w:rsidP="00474B8F">
      <w:pPr>
        <w:pStyle w:val="Akapitzlist"/>
        <w:numPr>
          <w:ilvl w:val="0"/>
          <w:numId w:val="9"/>
        </w:numPr>
        <w:tabs>
          <w:tab w:val="clear" w:pos="1068"/>
        </w:tabs>
        <w:spacing w:before="240" w:after="240" w:line="240" w:lineRule="auto"/>
        <w:ind w:left="568" w:hanging="284"/>
        <w:contextualSpacing w:val="0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74B8F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Ekosystem informacyjny prawnika – z czego czerpiemy wiedzę i gdzie ją gromadzimy </w:t>
      </w:r>
    </w:p>
    <w:p w14:paraId="2EF24C2C" w14:textId="43D5E36C" w:rsidR="003E000B" w:rsidRPr="00474B8F" w:rsidRDefault="003E000B" w:rsidP="00474B8F">
      <w:pPr>
        <w:pStyle w:val="Akapitzlist"/>
        <w:numPr>
          <w:ilvl w:val="0"/>
          <w:numId w:val="9"/>
        </w:numPr>
        <w:tabs>
          <w:tab w:val="clear" w:pos="1068"/>
        </w:tabs>
        <w:spacing w:before="240" w:after="240" w:line="240" w:lineRule="auto"/>
        <w:ind w:left="568" w:hanging="284"/>
        <w:contextualSpacing w:val="0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74B8F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„Drugi mózg” – jak zarządzić przepływem informacji – narzędzia dla mniej i</w:t>
      </w:r>
      <w:r w:rsidR="00474B8F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 </w:t>
      </w:r>
      <w:r w:rsidRPr="00474B8F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bardziej zaawansowanych </w:t>
      </w:r>
    </w:p>
    <w:p w14:paraId="24C916D8" w14:textId="7C744EAA" w:rsidR="003E000B" w:rsidRPr="00475ED6" w:rsidRDefault="003E000B" w:rsidP="00475ED6">
      <w:pPr>
        <w:pStyle w:val="Akapitzlist"/>
        <w:numPr>
          <w:ilvl w:val="0"/>
          <w:numId w:val="9"/>
        </w:numPr>
        <w:tabs>
          <w:tab w:val="clear" w:pos="1068"/>
        </w:tabs>
        <w:spacing w:before="240" w:after="240" w:line="240" w:lineRule="auto"/>
        <w:ind w:left="568" w:hanging="284"/>
        <w:contextualSpacing w:val="0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74B8F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Bazy wiedzy wewnętrznej – od zarządzania dokumentami do zarządzania wiedzą </w:t>
      </w:r>
    </w:p>
    <w:p w14:paraId="01654A4F" w14:textId="7E0F5C88" w:rsidR="003E000B" w:rsidRPr="00475ED6" w:rsidRDefault="0079164B" w:rsidP="00474B8F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b/>
          <w:bCs/>
          <w:color w:val="007AC3"/>
          <w:spacing w:val="8"/>
          <w:sz w:val="40"/>
          <w:szCs w:val="40"/>
          <w:lang w:eastAsia="pl-PL"/>
        </w:rPr>
      </w:pPr>
      <w:hyperlink r:id="rId12" w:history="1">
        <w:r w:rsidR="003E000B" w:rsidRPr="00475ED6">
          <w:rPr>
            <w:rStyle w:val="Hipercze"/>
            <w:rFonts w:eastAsia="Times New Roman" w:cstheme="minorHAnsi"/>
            <w:b/>
            <w:bCs/>
            <w:spacing w:val="8"/>
            <w:sz w:val="40"/>
            <w:szCs w:val="40"/>
            <w:lang w:eastAsia="pl-PL"/>
          </w:rPr>
          <w:t>Zapisy &gt;&gt;</w:t>
        </w:r>
      </w:hyperlink>
    </w:p>
    <w:p w14:paraId="3F3FA714" w14:textId="77777777" w:rsidR="00DD1E9B" w:rsidRDefault="00DD1E9B" w:rsidP="00474B8F">
      <w:pPr>
        <w:spacing w:line="240" w:lineRule="auto"/>
        <w:rPr>
          <w:rFonts w:cstheme="minorHAnsi"/>
          <w:sz w:val="24"/>
          <w:szCs w:val="24"/>
        </w:rPr>
      </w:pPr>
    </w:p>
    <w:p w14:paraId="4B69F6BB" w14:textId="54131BEB" w:rsidR="00474B8F" w:rsidRDefault="00474B8F" w:rsidP="00474B8F">
      <w:pPr>
        <w:spacing w:line="240" w:lineRule="auto"/>
      </w:pPr>
      <w:r>
        <w:rPr>
          <w:noProof/>
        </w:rPr>
        <w:drawing>
          <wp:inline distT="0" distB="0" distL="0" distR="0" wp14:anchorId="24249F7A" wp14:editId="07F25E05">
            <wp:extent cx="5760720" cy="1442085"/>
            <wp:effectExtent l="0" t="0" r="0" b="5715"/>
            <wp:docPr id="3" name="Obraz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29A4" w14:textId="526BCA8B" w:rsidR="004B6C21" w:rsidRPr="004B6C21" w:rsidRDefault="004B6C21" w:rsidP="004B6C21">
      <w:pPr>
        <w:spacing w:before="100" w:beforeAutospacing="1" w:after="100" w:afterAutospacing="1" w:line="240" w:lineRule="auto"/>
        <w:textAlignment w:val="top"/>
        <w:outlineLvl w:val="1"/>
        <w:rPr>
          <w:rFonts w:eastAsia="Times New Roman" w:cstheme="minorHAnsi"/>
          <w:b/>
          <w:bCs/>
          <w:color w:val="232323"/>
          <w:spacing w:val="15"/>
          <w:sz w:val="24"/>
          <w:szCs w:val="24"/>
          <w:lang w:eastAsia="pl-PL"/>
        </w:rPr>
      </w:pPr>
      <w:r w:rsidRPr="004B6C21">
        <w:rPr>
          <w:rFonts w:eastAsia="Times New Roman" w:cstheme="minorHAnsi"/>
          <w:b/>
          <w:bCs/>
          <w:color w:val="232323"/>
          <w:spacing w:val="15"/>
          <w:sz w:val="24"/>
          <w:szCs w:val="24"/>
          <w:lang w:eastAsia="pl-PL"/>
        </w:rPr>
        <w:t>Program webinaru:</w:t>
      </w:r>
    </w:p>
    <w:p w14:paraId="27129809" w14:textId="6590E9CB" w:rsidR="004B6C21" w:rsidRPr="004B6C21" w:rsidRDefault="004B6C21" w:rsidP="004B6C21">
      <w:pPr>
        <w:spacing w:after="0" w:line="240" w:lineRule="auto"/>
        <w:contextualSpacing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B6C21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Kluczowe konstrukcje prawne zawarte w ustawie „o kredycie konsumenckim”:</w:t>
      </w:r>
    </w:p>
    <w:p w14:paraId="0F5F57DC" w14:textId="77777777" w:rsidR="004B6C21" w:rsidRPr="004B6C21" w:rsidRDefault="004B6C21" w:rsidP="004B6C21">
      <w:pPr>
        <w:pStyle w:val="Akapitzlist"/>
        <w:numPr>
          <w:ilvl w:val="0"/>
          <w:numId w:val="11"/>
        </w:numPr>
        <w:spacing w:after="0" w:line="240" w:lineRule="auto"/>
        <w:ind w:left="1066" w:hanging="357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B6C21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Obowiązki informacyjne kredytodawcy</w:t>
      </w:r>
    </w:p>
    <w:p w14:paraId="57BA3B15" w14:textId="77777777" w:rsidR="004B6C21" w:rsidRPr="004B6C21" w:rsidRDefault="004B6C21" w:rsidP="004B6C21">
      <w:pPr>
        <w:pStyle w:val="Akapitzlist"/>
        <w:numPr>
          <w:ilvl w:val="0"/>
          <w:numId w:val="11"/>
        </w:numPr>
        <w:spacing w:after="0" w:line="240" w:lineRule="auto"/>
        <w:ind w:left="1066" w:hanging="357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B6C21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Prawne aspekty oceny zdolności kredytowej</w:t>
      </w:r>
    </w:p>
    <w:p w14:paraId="1E797C42" w14:textId="77777777" w:rsidR="004B6C21" w:rsidRPr="004B6C21" w:rsidRDefault="004B6C21" w:rsidP="004B6C21">
      <w:pPr>
        <w:pStyle w:val="Akapitzlist"/>
        <w:numPr>
          <w:ilvl w:val="0"/>
          <w:numId w:val="11"/>
        </w:numPr>
        <w:spacing w:after="0" w:line="240" w:lineRule="auto"/>
        <w:ind w:left="1066" w:hanging="357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B6C21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Pozaodsetkowe koszty kredytu</w:t>
      </w:r>
    </w:p>
    <w:p w14:paraId="35A0AB78" w14:textId="77777777" w:rsidR="004B6C21" w:rsidRPr="004B6C21" w:rsidRDefault="004B6C21" w:rsidP="004B6C21">
      <w:pPr>
        <w:pStyle w:val="Akapitzlist"/>
        <w:numPr>
          <w:ilvl w:val="0"/>
          <w:numId w:val="11"/>
        </w:numPr>
        <w:spacing w:after="0" w:line="240" w:lineRule="auto"/>
        <w:ind w:left="1066" w:hanging="357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B6C21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Prawo konsumenta do spłaty kredytu przed terminem i rozliczenia z tym związane</w:t>
      </w:r>
    </w:p>
    <w:p w14:paraId="6FDEFCF9" w14:textId="77777777" w:rsidR="004B6C21" w:rsidRPr="004B6C21" w:rsidRDefault="004B6C21" w:rsidP="004B6C21">
      <w:pPr>
        <w:pStyle w:val="Akapitzlist"/>
        <w:numPr>
          <w:ilvl w:val="0"/>
          <w:numId w:val="11"/>
        </w:numPr>
        <w:spacing w:after="0" w:line="240" w:lineRule="auto"/>
        <w:ind w:left="1066" w:hanging="357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B6C21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Kredyt darmowy</w:t>
      </w:r>
    </w:p>
    <w:p w14:paraId="0A438143" w14:textId="77777777" w:rsidR="004B6C21" w:rsidRDefault="004B6C21" w:rsidP="004B6C21">
      <w:pPr>
        <w:pStyle w:val="Akapitzlist"/>
        <w:numPr>
          <w:ilvl w:val="0"/>
          <w:numId w:val="11"/>
        </w:numPr>
        <w:spacing w:after="0" w:line="240" w:lineRule="auto"/>
        <w:ind w:left="1066" w:hanging="357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B6C21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>Prawo odstąpienia od umowy kredytu konsumenckiego</w:t>
      </w:r>
    </w:p>
    <w:p w14:paraId="57F770E2" w14:textId="019D4A99" w:rsidR="004B6C21" w:rsidRPr="004B6C21" w:rsidRDefault="004B6C21" w:rsidP="004B6C21">
      <w:pPr>
        <w:spacing w:before="240" w:after="0" w:line="240" w:lineRule="auto"/>
        <w:textAlignment w:val="top"/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</w:pPr>
      <w:r w:rsidRPr="004B6C21">
        <w:rPr>
          <w:rFonts w:eastAsia="Times New Roman" w:cstheme="minorHAnsi"/>
          <w:color w:val="232323"/>
          <w:spacing w:val="8"/>
          <w:sz w:val="24"/>
          <w:szCs w:val="24"/>
          <w:lang w:eastAsia="pl-PL"/>
        </w:rPr>
        <w:t xml:space="preserve"> Jak informować klientów o ważnych dla nich przepisach z wykorzystaniem nowoczesnych narzędzi</w:t>
      </w:r>
    </w:p>
    <w:p w14:paraId="4AC0675F" w14:textId="29D54451" w:rsidR="00DC5034" w:rsidRPr="004B6C21" w:rsidRDefault="0079164B" w:rsidP="004B6C21">
      <w:pPr>
        <w:spacing w:before="240" w:after="240" w:line="240" w:lineRule="auto"/>
        <w:jc w:val="center"/>
        <w:textAlignment w:val="top"/>
        <w:rPr>
          <w:rFonts w:eastAsia="Times New Roman" w:cstheme="minorHAnsi"/>
          <w:b/>
          <w:bCs/>
          <w:color w:val="232323"/>
          <w:spacing w:val="8"/>
          <w:sz w:val="40"/>
          <w:szCs w:val="40"/>
          <w:lang w:eastAsia="pl-PL"/>
        </w:rPr>
      </w:pPr>
      <w:hyperlink r:id="rId14" w:history="1">
        <w:r w:rsidR="004B6C21" w:rsidRPr="004B6C21">
          <w:rPr>
            <w:rStyle w:val="Hipercze"/>
            <w:rFonts w:eastAsia="Times New Roman" w:cstheme="minorHAnsi"/>
            <w:b/>
            <w:bCs/>
            <w:spacing w:val="8"/>
            <w:sz w:val="40"/>
            <w:szCs w:val="40"/>
            <w:lang w:eastAsia="pl-PL"/>
          </w:rPr>
          <w:t>Zapisy &gt;&gt;</w:t>
        </w:r>
      </w:hyperlink>
    </w:p>
    <w:sectPr w:rsidR="00DC5034" w:rsidRPr="004B6C21" w:rsidSect="00475E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3015" w14:textId="77777777" w:rsidR="00CF0B45" w:rsidRDefault="00CF0B45" w:rsidP="00901547">
      <w:pPr>
        <w:spacing w:after="0" w:line="240" w:lineRule="auto"/>
      </w:pPr>
      <w:r>
        <w:separator/>
      </w:r>
    </w:p>
  </w:endnote>
  <w:endnote w:type="continuationSeparator" w:id="0">
    <w:p w14:paraId="01C0DBD1" w14:textId="77777777" w:rsidR="00CF0B45" w:rsidRDefault="00CF0B45" w:rsidP="0090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B58D" w14:textId="77777777" w:rsidR="00CF0B45" w:rsidRDefault="00CF0B45" w:rsidP="00901547">
      <w:pPr>
        <w:spacing w:after="0" w:line="240" w:lineRule="auto"/>
      </w:pPr>
      <w:r>
        <w:separator/>
      </w:r>
    </w:p>
  </w:footnote>
  <w:footnote w:type="continuationSeparator" w:id="0">
    <w:p w14:paraId="7FAC1164" w14:textId="77777777" w:rsidR="00CF0B45" w:rsidRDefault="00CF0B45" w:rsidP="00901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F77FD"/>
    <w:multiLevelType w:val="multilevel"/>
    <w:tmpl w:val="E17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6406E"/>
    <w:multiLevelType w:val="multilevel"/>
    <w:tmpl w:val="061C9B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22970"/>
    <w:multiLevelType w:val="multilevel"/>
    <w:tmpl w:val="CFCC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021DB"/>
    <w:multiLevelType w:val="multilevel"/>
    <w:tmpl w:val="242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02D13"/>
    <w:multiLevelType w:val="hybridMultilevel"/>
    <w:tmpl w:val="C512D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E2DAA"/>
    <w:multiLevelType w:val="multilevel"/>
    <w:tmpl w:val="1648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5789E"/>
    <w:multiLevelType w:val="multilevel"/>
    <w:tmpl w:val="2FE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C1976"/>
    <w:multiLevelType w:val="multilevel"/>
    <w:tmpl w:val="061C9B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71FEA"/>
    <w:multiLevelType w:val="hybridMultilevel"/>
    <w:tmpl w:val="FD9CD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54C0D"/>
    <w:multiLevelType w:val="multilevel"/>
    <w:tmpl w:val="A1CC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6615D"/>
    <w:multiLevelType w:val="multilevel"/>
    <w:tmpl w:val="061C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47"/>
    <w:rsid w:val="002B61BF"/>
    <w:rsid w:val="003E000B"/>
    <w:rsid w:val="00474B8F"/>
    <w:rsid w:val="00475ED6"/>
    <w:rsid w:val="004B6C21"/>
    <w:rsid w:val="00621EB3"/>
    <w:rsid w:val="007053D1"/>
    <w:rsid w:val="0079164B"/>
    <w:rsid w:val="00901547"/>
    <w:rsid w:val="00CF0B45"/>
    <w:rsid w:val="00DC5034"/>
    <w:rsid w:val="00D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85C8"/>
  <w15:chartTrackingRefBased/>
  <w15:docId w15:val="{0AF8A09D-DB14-49E6-9F5A-32C41E23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547"/>
  </w:style>
  <w:style w:type="paragraph" w:styleId="Nagwek2">
    <w:name w:val="heading 2"/>
    <w:basedOn w:val="Normalny"/>
    <w:link w:val="Nagwek2Znak"/>
    <w:uiPriority w:val="9"/>
    <w:qFormat/>
    <w:rsid w:val="00901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0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154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0154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15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15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15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00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4B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B8F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03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38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824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0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0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6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7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5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872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1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005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2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8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453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7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299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5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m7Knap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bit.ly/3m7Knap" TargetMode="External"/><Relationship Id="rId12" Type="http://schemas.openxmlformats.org/officeDocument/2006/relationships/hyperlink" Target="https://bit.ly/3m7Kna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t.ly/391RNZ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91RNZU" TargetMode="External"/><Relationship Id="rId14" Type="http://schemas.openxmlformats.org/officeDocument/2006/relationships/hyperlink" Target="https://bit.ly/391RNZ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Kotlarska, Magdalena</dc:creator>
  <cp:keywords/>
  <dc:description/>
  <cp:lastModifiedBy>Sławatyniec, Anna</cp:lastModifiedBy>
  <cp:revision>3</cp:revision>
  <dcterms:created xsi:type="dcterms:W3CDTF">2022-06-03T11:55:00Z</dcterms:created>
  <dcterms:modified xsi:type="dcterms:W3CDTF">2022-06-08T10:02:00Z</dcterms:modified>
</cp:coreProperties>
</file>